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8A" w:rsidRDefault="00446BF7">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石家庄市</w:t>
      </w:r>
      <w:r w:rsidR="00DF44EF">
        <w:rPr>
          <w:rFonts w:ascii="方正小标宋_GBK" w:eastAsia="方正小标宋_GBK" w:hAnsi="Times New Roman" w:cs="Times New Roman" w:hint="eastAsia"/>
          <w:bCs/>
          <w:sz w:val="44"/>
          <w:szCs w:val="44"/>
        </w:rPr>
        <w:t>第四十中学</w:t>
      </w:r>
    </w:p>
    <w:p w:rsidR="00CD358A" w:rsidRDefault="00446BF7">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w:t>
      </w:r>
      <w:r w:rsidR="005C3AD5">
        <w:rPr>
          <w:rFonts w:ascii="方正小标宋_GBK" w:eastAsia="方正小标宋_GBK" w:hAnsi="Times New Roman" w:cs="Times New Roman" w:hint="eastAsia"/>
          <w:bCs/>
          <w:sz w:val="44"/>
          <w:szCs w:val="44"/>
        </w:rPr>
        <w:t>1</w:t>
      </w:r>
      <w:r>
        <w:rPr>
          <w:rFonts w:ascii="方正小标宋_GBK" w:eastAsia="方正小标宋_GBK" w:hAnsi="Times New Roman" w:cs="Times New Roman" w:hint="eastAsia"/>
          <w:bCs/>
          <w:sz w:val="44"/>
          <w:szCs w:val="44"/>
        </w:rPr>
        <w:t>年部门预算信息公开情况说明</w:t>
      </w:r>
    </w:p>
    <w:p w:rsidR="00CD358A" w:rsidRDefault="00CD358A">
      <w:pPr>
        <w:ind w:firstLine="640"/>
        <w:rPr>
          <w:rFonts w:ascii="Times New Roman" w:eastAsia="仿宋" w:hAnsi="Times New Roman" w:cs="Times New Roman"/>
          <w:sz w:val="32"/>
          <w:szCs w:val="32"/>
        </w:rPr>
      </w:pPr>
    </w:p>
    <w:p w:rsidR="00CD358A" w:rsidRDefault="00446BF7">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按照《预算法》、《地方预决算公开操作规程》和《河北省省级预算公开办法》规定，现将石家庄市裕华区教育局</w:t>
      </w:r>
      <w:r>
        <w:rPr>
          <w:rFonts w:ascii="Times New Roman" w:eastAsia="仿宋" w:hAnsi="Times New Roman" w:cs="Times New Roman" w:hint="eastAsia"/>
          <w:sz w:val="32"/>
          <w:szCs w:val="32"/>
        </w:rPr>
        <w:t>202</w:t>
      </w:r>
      <w:r w:rsidR="00F34DEA">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年部门预算公开如下：</w:t>
      </w:r>
    </w:p>
    <w:p w:rsidR="00CD358A" w:rsidRDefault="00446BF7" w:rsidP="00750048">
      <w:pPr>
        <w:pStyle w:val="1"/>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DF44EF" w:rsidRDefault="00DF44EF" w:rsidP="00DF44EF">
      <w:pPr>
        <w:widowControl/>
        <w:spacing w:line="580" w:lineRule="exact"/>
        <w:ind w:firstLineChars="200" w:firstLine="640"/>
        <w:rPr>
          <w:rFonts w:ascii="仿宋_GB2312" w:eastAsia="仿宋_GB2312" w:cs="Arial Black"/>
          <w:kern w:val="0"/>
          <w:sz w:val="32"/>
          <w:szCs w:val="32"/>
        </w:rPr>
      </w:pPr>
      <w:r>
        <w:rPr>
          <w:rFonts w:ascii="仿宋_GB2312" w:eastAsia="仿宋_GB2312" w:cs="Arial Black"/>
          <w:kern w:val="0"/>
          <w:sz w:val="32"/>
          <w:szCs w:val="32"/>
        </w:rPr>
        <w:t>石家庄市第四十中学是一所初级中学，主要职能是从事</w:t>
      </w:r>
      <w:r w:rsidRPr="00166087">
        <w:rPr>
          <w:rFonts w:ascii="仿宋_GB2312" w:eastAsia="仿宋_GB2312" w:cs="Arial Black"/>
          <w:kern w:val="0"/>
          <w:sz w:val="32"/>
          <w:szCs w:val="32"/>
        </w:rPr>
        <w:t>初中学历教育。</w:t>
      </w:r>
    </w:p>
    <w:p w:rsidR="00CD358A" w:rsidRDefault="00446BF7" w:rsidP="00F34DEA">
      <w:pPr>
        <w:pStyle w:val="2"/>
        <w:rPr>
          <w:rFonts w:ascii="仿宋" w:eastAsia="仿宋" w:hAnsi="仿宋"/>
          <w:b w:val="0"/>
        </w:rPr>
      </w:pPr>
      <w:r>
        <w:rPr>
          <w:rFonts w:ascii="仿宋" w:eastAsia="仿宋" w:hAnsi="仿宋" w:hint="eastAsia"/>
          <w:b w:val="0"/>
        </w:rPr>
        <w:t>机构设置：</w:t>
      </w:r>
    </w:p>
    <w:p w:rsidR="00FD2278" w:rsidRPr="00F66032" w:rsidRDefault="00446BF7" w:rsidP="005C5F1E">
      <w:pPr>
        <w:jc w:val="center"/>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9"/>
        <w:gridCol w:w="1134"/>
        <w:gridCol w:w="1276"/>
        <w:gridCol w:w="3013"/>
      </w:tblGrid>
      <w:tr w:rsidR="00FD2278" w:rsidRPr="00943D68" w:rsidTr="00C80CDF">
        <w:trPr>
          <w:trHeight w:val="300"/>
          <w:tblHeader/>
          <w:jc w:val="center"/>
        </w:trPr>
        <w:tc>
          <w:tcPr>
            <w:tcW w:w="4359" w:type="dxa"/>
            <w:vMerge w:val="restart"/>
            <w:shd w:val="clear" w:color="auto" w:fill="auto"/>
            <w:vAlign w:val="center"/>
          </w:tcPr>
          <w:p w:rsidR="00FD2278" w:rsidRPr="00943D68" w:rsidRDefault="00FD2278" w:rsidP="00C80CDF">
            <w:pPr>
              <w:spacing w:line="300" w:lineRule="exact"/>
              <w:jc w:val="center"/>
              <w:rPr>
                <w:rFonts w:ascii="方正书宋_GBK" w:eastAsia="方正书宋_GBK"/>
                <w:b/>
              </w:rPr>
            </w:pPr>
            <w:r w:rsidRPr="00943D68">
              <w:rPr>
                <w:rFonts w:ascii="方正书宋_GBK" w:eastAsia="方正书宋_GBK" w:hint="eastAsia"/>
                <w:b/>
              </w:rPr>
              <w:t>单位名称</w:t>
            </w:r>
          </w:p>
        </w:tc>
        <w:tc>
          <w:tcPr>
            <w:tcW w:w="1134" w:type="dxa"/>
            <w:vMerge w:val="restart"/>
            <w:shd w:val="clear" w:color="auto" w:fill="auto"/>
            <w:vAlign w:val="center"/>
          </w:tcPr>
          <w:p w:rsidR="00FD2278" w:rsidRPr="00943D68" w:rsidRDefault="00FD2278" w:rsidP="00C80CDF">
            <w:pPr>
              <w:spacing w:line="300" w:lineRule="exact"/>
              <w:jc w:val="center"/>
              <w:rPr>
                <w:rFonts w:ascii="方正书宋_GBK" w:eastAsia="方正书宋_GBK"/>
                <w:b/>
              </w:rPr>
            </w:pPr>
            <w:r w:rsidRPr="00943D68">
              <w:rPr>
                <w:rFonts w:ascii="方正书宋_GBK" w:eastAsia="方正书宋_GBK" w:hint="eastAsia"/>
                <w:b/>
              </w:rPr>
              <w:t>单位性质</w:t>
            </w:r>
          </w:p>
        </w:tc>
        <w:tc>
          <w:tcPr>
            <w:tcW w:w="1276" w:type="dxa"/>
            <w:vMerge w:val="restart"/>
            <w:shd w:val="clear" w:color="auto" w:fill="auto"/>
            <w:vAlign w:val="center"/>
          </w:tcPr>
          <w:p w:rsidR="00FD2278" w:rsidRPr="00943D68" w:rsidRDefault="00FD2278" w:rsidP="00C80CDF">
            <w:pPr>
              <w:spacing w:line="300" w:lineRule="exact"/>
              <w:jc w:val="center"/>
              <w:rPr>
                <w:rFonts w:ascii="方正书宋_GBK" w:eastAsia="方正书宋_GBK"/>
                <w:b/>
              </w:rPr>
            </w:pPr>
            <w:r w:rsidRPr="00943D68">
              <w:rPr>
                <w:rFonts w:ascii="方正书宋_GBK" w:eastAsia="方正书宋_GBK" w:hint="eastAsia"/>
                <w:b/>
              </w:rPr>
              <w:t>单位规格</w:t>
            </w:r>
          </w:p>
        </w:tc>
        <w:tc>
          <w:tcPr>
            <w:tcW w:w="3013" w:type="dxa"/>
            <w:vMerge w:val="restart"/>
            <w:shd w:val="clear" w:color="auto" w:fill="auto"/>
            <w:vAlign w:val="center"/>
          </w:tcPr>
          <w:p w:rsidR="00FD2278" w:rsidRPr="00943D68" w:rsidRDefault="00FD2278" w:rsidP="00C80CDF">
            <w:pPr>
              <w:spacing w:line="300" w:lineRule="exact"/>
              <w:jc w:val="center"/>
              <w:rPr>
                <w:rFonts w:ascii="方正书宋_GBK" w:eastAsia="方正书宋_GBK"/>
                <w:b/>
              </w:rPr>
            </w:pPr>
            <w:r w:rsidRPr="00943D68">
              <w:rPr>
                <w:rFonts w:ascii="方正书宋_GBK" w:eastAsia="方正书宋_GBK" w:hint="eastAsia"/>
                <w:b/>
              </w:rPr>
              <w:t>经费保障形式</w:t>
            </w:r>
          </w:p>
        </w:tc>
      </w:tr>
      <w:tr w:rsidR="00FD2278" w:rsidRPr="00943D68" w:rsidTr="00C80CDF">
        <w:trPr>
          <w:trHeight w:val="300"/>
          <w:tblHeader/>
          <w:jc w:val="center"/>
        </w:trPr>
        <w:tc>
          <w:tcPr>
            <w:tcW w:w="4359" w:type="dxa"/>
            <w:vMerge/>
            <w:shd w:val="clear" w:color="auto" w:fill="auto"/>
            <w:vAlign w:val="center"/>
          </w:tcPr>
          <w:p w:rsidR="00FD2278" w:rsidRPr="00943D68" w:rsidRDefault="00FD2278" w:rsidP="00C80CDF">
            <w:pPr>
              <w:spacing w:line="300" w:lineRule="exact"/>
              <w:jc w:val="left"/>
              <w:outlineLvl w:val="0"/>
            </w:pPr>
          </w:p>
        </w:tc>
        <w:tc>
          <w:tcPr>
            <w:tcW w:w="1134" w:type="dxa"/>
            <w:vMerge/>
            <w:shd w:val="clear" w:color="auto" w:fill="auto"/>
            <w:vAlign w:val="center"/>
          </w:tcPr>
          <w:p w:rsidR="00FD2278" w:rsidRPr="00943D68" w:rsidRDefault="00FD2278" w:rsidP="00C80CDF">
            <w:pPr>
              <w:spacing w:line="300" w:lineRule="exact"/>
              <w:jc w:val="left"/>
              <w:outlineLvl w:val="0"/>
            </w:pPr>
          </w:p>
        </w:tc>
        <w:tc>
          <w:tcPr>
            <w:tcW w:w="1276" w:type="dxa"/>
            <w:vMerge/>
            <w:shd w:val="clear" w:color="auto" w:fill="auto"/>
            <w:vAlign w:val="center"/>
          </w:tcPr>
          <w:p w:rsidR="00FD2278" w:rsidRPr="00943D68" w:rsidRDefault="00FD2278" w:rsidP="00C80CDF">
            <w:pPr>
              <w:spacing w:line="300" w:lineRule="exact"/>
              <w:jc w:val="left"/>
              <w:outlineLvl w:val="0"/>
            </w:pPr>
          </w:p>
        </w:tc>
        <w:tc>
          <w:tcPr>
            <w:tcW w:w="3013" w:type="dxa"/>
            <w:vMerge/>
            <w:shd w:val="clear" w:color="auto" w:fill="auto"/>
            <w:vAlign w:val="center"/>
          </w:tcPr>
          <w:p w:rsidR="00FD2278" w:rsidRPr="00943D68" w:rsidRDefault="00FD2278" w:rsidP="00C80CDF">
            <w:pPr>
              <w:spacing w:line="300" w:lineRule="exact"/>
              <w:jc w:val="left"/>
              <w:outlineLvl w:val="0"/>
            </w:pPr>
          </w:p>
        </w:tc>
      </w:tr>
      <w:tr w:rsidR="00FD2278" w:rsidRPr="00EE21D1" w:rsidTr="00C80CDF">
        <w:trPr>
          <w:trHeight w:val="227"/>
          <w:jc w:val="center"/>
        </w:trPr>
        <w:tc>
          <w:tcPr>
            <w:tcW w:w="4359" w:type="dxa"/>
            <w:shd w:val="clear" w:color="auto" w:fill="auto"/>
            <w:vAlign w:val="center"/>
          </w:tcPr>
          <w:p w:rsidR="00FD2278" w:rsidRPr="00EE21D1" w:rsidRDefault="00FD2278" w:rsidP="00C80CDF">
            <w:pPr>
              <w:spacing w:line="300" w:lineRule="exact"/>
              <w:jc w:val="left"/>
              <w:rPr>
                <w:rFonts w:ascii="方正书宋_GBK" w:eastAsia="方正书宋_GBK"/>
              </w:rPr>
            </w:pPr>
            <w:r w:rsidRPr="00EE21D1">
              <w:rPr>
                <w:rFonts w:ascii="方正书宋_GBK" w:eastAsia="方正书宋_GBK" w:hint="eastAsia"/>
              </w:rPr>
              <w:t>石家庄市第四十中学</w:t>
            </w:r>
          </w:p>
        </w:tc>
        <w:tc>
          <w:tcPr>
            <w:tcW w:w="1134" w:type="dxa"/>
            <w:shd w:val="clear" w:color="auto" w:fill="auto"/>
            <w:vAlign w:val="center"/>
          </w:tcPr>
          <w:p w:rsidR="00FD2278" w:rsidRPr="00EE21D1" w:rsidRDefault="00FD2278" w:rsidP="00C80CDF">
            <w:pPr>
              <w:spacing w:line="300" w:lineRule="exact"/>
              <w:jc w:val="center"/>
              <w:rPr>
                <w:rFonts w:ascii="方正书宋_GBK" w:eastAsia="方正书宋_GBK"/>
              </w:rPr>
            </w:pPr>
            <w:r w:rsidRPr="00EE21D1">
              <w:rPr>
                <w:rFonts w:ascii="方正书宋_GBK" w:eastAsia="方正书宋_GBK" w:hint="eastAsia"/>
              </w:rPr>
              <w:t>事业</w:t>
            </w:r>
          </w:p>
        </w:tc>
        <w:tc>
          <w:tcPr>
            <w:tcW w:w="1276" w:type="dxa"/>
            <w:shd w:val="clear" w:color="auto" w:fill="auto"/>
          </w:tcPr>
          <w:p w:rsidR="00FD2278" w:rsidRPr="00EE21D1" w:rsidRDefault="00FD2278" w:rsidP="00C80CDF">
            <w:pPr>
              <w:spacing w:line="300" w:lineRule="exact"/>
              <w:jc w:val="center"/>
              <w:rPr>
                <w:rFonts w:ascii="方正书宋_GBK" w:eastAsia="方正书宋_GBK"/>
              </w:rPr>
            </w:pPr>
            <w:r w:rsidRPr="00EE21D1">
              <w:rPr>
                <w:rFonts w:ascii="方正书宋_GBK" w:eastAsia="方正书宋_GBK" w:hint="eastAsia"/>
              </w:rPr>
              <w:t>-</w:t>
            </w:r>
          </w:p>
        </w:tc>
        <w:tc>
          <w:tcPr>
            <w:tcW w:w="3013" w:type="dxa"/>
            <w:shd w:val="clear" w:color="auto" w:fill="auto"/>
            <w:vAlign w:val="center"/>
          </w:tcPr>
          <w:p w:rsidR="00FD2278" w:rsidRPr="00EE21D1" w:rsidRDefault="00FD2278" w:rsidP="00C80CDF">
            <w:pPr>
              <w:spacing w:line="300" w:lineRule="exact"/>
              <w:jc w:val="center"/>
              <w:rPr>
                <w:rFonts w:ascii="方正书宋_GBK" w:eastAsia="方正书宋_GBK"/>
              </w:rPr>
            </w:pPr>
            <w:r w:rsidRPr="00EE21D1">
              <w:rPr>
                <w:rFonts w:ascii="方正书宋_GBK" w:eastAsia="方正书宋_GBK" w:hint="eastAsia"/>
              </w:rPr>
              <w:t>财政性资金基本保证</w:t>
            </w:r>
          </w:p>
        </w:tc>
      </w:tr>
    </w:tbl>
    <w:p w:rsidR="00FD2278" w:rsidRDefault="00FD2278"/>
    <w:p w:rsidR="00CD358A" w:rsidRDefault="00446BF7" w:rsidP="00750048">
      <w:pPr>
        <w:pStyle w:val="1"/>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CD358A" w:rsidRDefault="00446BF7">
      <w:pPr>
        <w:ind w:firstLine="640"/>
        <w:rPr>
          <w:rFonts w:ascii="Times New Roman" w:eastAsia="仿宋" w:hAnsi="Times New Roman" w:cs="Times New Roman"/>
          <w:sz w:val="32"/>
          <w:szCs w:val="32"/>
        </w:rPr>
      </w:pPr>
      <w:r>
        <w:rPr>
          <w:rFonts w:ascii="Times New Roman" w:eastAsia="仿宋" w:hAnsi="Times New Roman" w:cs="Times New Roman"/>
          <w:sz w:val="32"/>
          <w:szCs w:val="32"/>
        </w:rPr>
        <w:t>按照预算管理有关规定，目前</w:t>
      </w:r>
      <w:proofErr w:type="gramStart"/>
      <w:r>
        <w:rPr>
          <w:rFonts w:ascii="Times New Roman" w:eastAsia="仿宋" w:hAnsi="Times New Roman" w:cs="Times New Roman"/>
          <w:sz w:val="32"/>
          <w:szCs w:val="32"/>
        </w:rPr>
        <w:t>我部门</w:t>
      </w:r>
      <w:proofErr w:type="gramEnd"/>
      <w:r>
        <w:rPr>
          <w:rFonts w:ascii="Times New Roman" w:eastAsia="仿宋" w:hAnsi="Times New Roman" w:cs="Times New Roman"/>
          <w:sz w:val="32"/>
          <w:szCs w:val="32"/>
        </w:rPr>
        <w:t>预算的编制实行综合预算</w:t>
      </w:r>
      <w:r>
        <w:rPr>
          <w:rFonts w:ascii="Times New Roman" w:eastAsia="仿宋" w:hAnsi="Times New Roman" w:cs="Times New Roman" w:hint="eastAsia"/>
          <w:sz w:val="32"/>
          <w:szCs w:val="32"/>
        </w:rPr>
        <w:t>管理</w:t>
      </w:r>
      <w:r>
        <w:rPr>
          <w:rFonts w:ascii="Times New Roman" w:eastAsia="仿宋" w:hAnsi="Times New Roman" w:cs="Times New Roman"/>
          <w:sz w:val="32"/>
          <w:szCs w:val="32"/>
        </w:rPr>
        <w:t>，即全部收入和支出都反映的预算中。</w:t>
      </w:r>
    </w:p>
    <w:p w:rsidR="00CD358A" w:rsidRDefault="00446BF7" w:rsidP="00750048">
      <w:pPr>
        <w:pStyle w:val="2"/>
        <w:rPr>
          <w:rFonts w:ascii="Times New Roman" w:eastAsia="仿宋" w:hAnsi="Times New Roman"/>
        </w:rPr>
      </w:pPr>
      <w:r>
        <w:rPr>
          <w:rFonts w:ascii="Times New Roman" w:eastAsia="仿宋" w:hAnsi="Times New Roman" w:hint="eastAsia"/>
        </w:rPr>
        <w:lastRenderedPageBreak/>
        <w:t>1</w:t>
      </w:r>
      <w:r>
        <w:rPr>
          <w:rFonts w:ascii="Times New Roman" w:eastAsia="仿宋" w:hAnsi="Times New Roman" w:hint="eastAsia"/>
        </w:rPr>
        <w:t>、</w:t>
      </w:r>
      <w:r>
        <w:rPr>
          <w:rFonts w:ascii="Times New Roman" w:eastAsia="仿宋" w:hAnsi="Times New Roman"/>
        </w:rPr>
        <w:t>收入说明</w:t>
      </w:r>
    </w:p>
    <w:p w:rsidR="00CD358A" w:rsidRDefault="00446BF7">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反映本部门当年全部收入。</w:t>
      </w:r>
      <w:r>
        <w:rPr>
          <w:rFonts w:ascii="Times New Roman" w:eastAsia="仿宋" w:hAnsi="Times New Roman" w:cs="Times New Roman" w:hint="eastAsia"/>
          <w:sz w:val="32"/>
          <w:szCs w:val="32"/>
        </w:rPr>
        <w:t>202</w:t>
      </w:r>
      <w:r w:rsidR="008B7DA7">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年预算收入</w:t>
      </w:r>
      <w:r w:rsidR="006732DE">
        <w:rPr>
          <w:rFonts w:ascii="Times New Roman" w:eastAsia="仿宋" w:hAnsi="Times New Roman" w:cs="Times New Roman" w:hint="eastAsia"/>
          <w:sz w:val="32"/>
          <w:szCs w:val="32"/>
        </w:rPr>
        <w:t>3197.4</w:t>
      </w:r>
      <w:r w:rsidR="008B7DA7">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万元，其中：一般公共预算收入</w:t>
      </w:r>
      <w:r w:rsidR="006732DE">
        <w:rPr>
          <w:rFonts w:ascii="Times New Roman" w:eastAsia="仿宋" w:hAnsi="Times New Roman" w:cs="Times New Roman" w:hint="eastAsia"/>
          <w:sz w:val="32"/>
          <w:szCs w:val="32"/>
        </w:rPr>
        <w:t>3197.44</w:t>
      </w:r>
      <w:r>
        <w:rPr>
          <w:rFonts w:ascii="Times New Roman" w:eastAsia="仿宋" w:hAnsi="Times New Roman" w:cs="Times New Roman" w:hint="eastAsia"/>
          <w:sz w:val="32"/>
          <w:szCs w:val="32"/>
        </w:rPr>
        <w:t>万元，基金预算收入</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万元，财政专户核拨收入</w:t>
      </w:r>
      <w:r w:rsidR="006732DE">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万元，其他来源收入</w:t>
      </w:r>
      <w:r w:rsidR="008B7DA7">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w:t>
      </w:r>
    </w:p>
    <w:p w:rsidR="00CD358A" w:rsidRDefault="00446BF7" w:rsidP="00750048">
      <w:pPr>
        <w:pStyle w:val="2"/>
        <w:rPr>
          <w:rFonts w:ascii="Times New Roman" w:eastAsia="仿宋" w:hAnsi="Times New Roman"/>
        </w:rPr>
      </w:pPr>
      <w:r>
        <w:rPr>
          <w:rFonts w:ascii="Times New Roman" w:eastAsia="仿宋" w:hAnsi="Times New Roman" w:hint="eastAsia"/>
        </w:rPr>
        <w:t>2</w:t>
      </w:r>
      <w:r>
        <w:rPr>
          <w:rFonts w:ascii="Times New Roman" w:eastAsia="仿宋" w:hAnsi="Times New Roman" w:hint="eastAsia"/>
        </w:rPr>
        <w:t>、</w:t>
      </w:r>
      <w:r>
        <w:rPr>
          <w:rFonts w:ascii="Times New Roman" w:eastAsia="仿宋" w:hAnsi="Times New Roman"/>
        </w:rPr>
        <w:t>支出说明</w:t>
      </w:r>
    </w:p>
    <w:p w:rsidR="00CD358A" w:rsidRDefault="00446BF7" w:rsidP="0097482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收支预算总表支出栏、基本支出表、项目支出表按经济分类和支出功能分类科目编制，反映</w:t>
      </w:r>
      <w:r w:rsidR="00FD2278">
        <w:rPr>
          <w:rFonts w:ascii="Times New Roman" w:eastAsia="仿宋" w:hAnsi="Times New Roman" w:cs="Times New Roman" w:hint="eastAsia"/>
          <w:sz w:val="32"/>
          <w:szCs w:val="32"/>
        </w:rPr>
        <w:t>石家庄市</w:t>
      </w:r>
      <w:r w:rsidR="006732DE">
        <w:rPr>
          <w:rFonts w:ascii="Times New Roman" w:eastAsia="仿宋" w:hAnsi="Times New Roman" w:cs="Times New Roman" w:hint="eastAsia"/>
          <w:sz w:val="32"/>
          <w:szCs w:val="32"/>
        </w:rPr>
        <w:t>第四十中学</w:t>
      </w:r>
      <w:r>
        <w:rPr>
          <w:rFonts w:ascii="Times New Roman" w:eastAsia="仿宋" w:hAnsi="Times New Roman" w:cs="Times New Roman" w:hint="eastAsia"/>
          <w:sz w:val="32"/>
          <w:szCs w:val="32"/>
        </w:rPr>
        <w:t>年度部门预算中支出预算的总体情况。</w:t>
      </w:r>
      <w:r>
        <w:rPr>
          <w:rFonts w:ascii="Times New Roman" w:eastAsia="仿宋" w:hAnsi="Times New Roman" w:cs="Times New Roman" w:hint="eastAsia"/>
          <w:sz w:val="32"/>
          <w:szCs w:val="32"/>
        </w:rPr>
        <w:t>202</w:t>
      </w:r>
      <w:r w:rsidR="008F0B9D">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年部门支出预算为</w:t>
      </w:r>
      <w:r w:rsidR="006732DE">
        <w:rPr>
          <w:rFonts w:ascii="Times New Roman" w:eastAsia="仿宋" w:hAnsi="Times New Roman" w:cs="Times New Roman" w:hint="eastAsia"/>
          <w:sz w:val="32"/>
          <w:szCs w:val="32"/>
        </w:rPr>
        <w:t>3197.44</w:t>
      </w:r>
      <w:r>
        <w:rPr>
          <w:rFonts w:ascii="Times New Roman" w:eastAsia="仿宋" w:hAnsi="Times New Roman" w:cs="Times New Roman" w:hint="eastAsia"/>
          <w:sz w:val="32"/>
          <w:szCs w:val="32"/>
        </w:rPr>
        <w:t>万元，其中基本支出</w:t>
      </w:r>
      <w:r w:rsidR="006732DE">
        <w:rPr>
          <w:rFonts w:ascii="Times New Roman" w:eastAsia="仿宋" w:hAnsi="Times New Roman" w:cs="Times New Roman" w:hint="eastAsia"/>
          <w:sz w:val="32"/>
          <w:szCs w:val="32"/>
        </w:rPr>
        <w:t>3197.44</w:t>
      </w:r>
      <w:r>
        <w:rPr>
          <w:rFonts w:ascii="Times New Roman" w:eastAsia="仿宋" w:hAnsi="Times New Roman" w:cs="Times New Roman" w:hint="eastAsia"/>
          <w:sz w:val="32"/>
          <w:szCs w:val="32"/>
        </w:rPr>
        <w:t>万元，包括人员经费</w:t>
      </w:r>
      <w:r w:rsidR="006732DE">
        <w:rPr>
          <w:rFonts w:ascii="Times New Roman" w:eastAsia="仿宋" w:hAnsi="Times New Roman" w:cs="Times New Roman" w:hint="eastAsia"/>
          <w:sz w:val="32"/>
          <w:szCs w:val="32"/>
        </w:rPr>
        <w:t>3181.23</w:t>
      </w:r>
      <w:r>
        <w:rPr>
          <w:rFonts w:ascii="Times New Roman" w:eastAsia="仿宋" w:hAnsi="Times New Roman" w:cs="Times New Roman" w:hint="eastAsia"/>
          <w:sz w:val="32"/>
          <w:szCs w:val="32"/>
        </w:rPr>
        <w:t>万元和日常公用经费</w:t>
      </w:r>
      <w:r w:rsidR="006732DE">
        <w:rPr>
          <w:rFonts w:ascii="Times New Roman" w:eastAsia="仿宋" w:hAnsi="Times New Roman" w:cs="Times New Roman" w:hint="eastAsia"/>
          <w:sz w:val="32"/>
          <w:szCs w:val="32"/>
        </w:rPr>
        <w:t>16.21</w:t>
      </w:r>
      <w:r>
        <w:rPr>
          <w:rFonts w:ascii="Times New Roman" w:eastAsia="仿宋" w:hAnsi="Times New Roman" w:cs="Times New Roman" w:hint="eastAsia"/>
          <w:sz w:val="32"/>
          <w:szCs w:val="32"/>
        </w:rPr>
        <w:t>万元；项目支出</w:t>
      </w:r>
      <w:r w:rsidR="006732DE">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万元；其他支出</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w:t>
      </w:r>
    </w:p>
    <w:p w:rsidR="00CD358A" w:rsidRDefault="00446BF7" w:rsidP="00750048">
      <w:pPr>
        <w:pStyle w:val="2"/>
        <w:rPr>
          <w:rFonts w:ascii="Times New Roman" w:eastAsia="仿宋" w:hAnsi="Times New Roman"/>
        </w:rPr>
      </w:pPr>
      <w:r>
        <w:rPr>
          <w:rFonts w:ascii="Times New Roman" w:eastAsia="仿宋" w:hAnsi="Times New Roman" w:hint="eastAsia"/>
        </w:rPr>
        <w:t>3</w:t>
      </w:r>
      <w:r>
        <w:rPr>
          <w:rFonts w:ascii="Times New Roman" w:eastAsia="仿宋" w:hAnsi="Times New Roman" w:hint="eastAsia"/>
        </w:rPr>
        <w:t>、</w:t>
      </w:r>
      <w:r>
        <w:rPr>
          <w:rFonts w:ascii="Times New Roman" w:eastAsia="仿宋" w:hAnsi="Times New Roman"/>
        </w:rPr>
        <w:t>比上年增减情况</w:t>
      </w:r>
    </w:p>
    <w:p w:rsidR="00CD358A" w:rsidRDefault="00446BF7">
      <w:pPr>
        <w:ind w:firstLine="640"/>
        <w:rPr>
          <w:rFonts w:ascii="Times New Roman" w:eastAsia="仿宋" w:hAnsi="Times New Roman" w:cs="Times New Roman"/>
          <w:sz w:val="32"/>
          <w:szCs w:val="32"/>
        </w:rPr>
      </w:pPr>
      <w:r>
        <w:rPr>
          <w:rFonts w:ascii="Times New Roman" w:eastAsia="仿宋" w:hAnsi="Times New Roman" w:cs="Times New Roman" w:hint="eastAsia"/>
          <w:color w:val="000000"/>
          <w:sz w:val="32"/>
          <w:szCs w:val="32"/>
        </w:rPr>
        <w:t>202</w:t>
      </w:r>
      <w:r w:rsidR="00397A29">
        <w:rPr>
          <w:rFonts w:ascii="Times New Roman" w:eastAsia="仿宋" w:hAnsi="Times New Roman" w:cs="Times New Roman" w:hint="eastAsia"/>
          <w:color w:val="000000"/>
          <w:sz w:val="32"/>
          <w:szCs w:val="32"/>
        </w:rPr>
        <w:t>1</w:t>
      </w:r>
      <w:r>
        <w:rPr>
          <w:rFonts w:ascii="Times New Roman" w:eastAsia="仿宋" w:hAnsi="Times New Roman" w:cs="Times New Roman" w:hint="eastAsia"/>
          <w:color w:val="000000"/>
          <w:sz w:val="32"/>
          <w:szCs w:val="32"/>
        </w:rPr>
        <w:t>年部门预算收支安排</w:t>
      </w:r>
      <w:r w:rsidR="006732DE">
        <w:rPr>
          <w:rFonts w:ascii="Times New Roman" w:eastAsia="仿宋" w:hAnsi="Times New Roman" w:cs="Times New Roman" w:hint="eastAsia"/>
          <w:sz w:val="32"/>
          <w:szCs w:val="32"/>
        </w:rPr>
        <w:t>3197.4</w:t>
      </w:r>
      <w:r w:rsidR="008F0B9D">
        <w:rPr>
          <w:rFonts w:ascii="Times New Roman" w:eastAsia="仿宋" w:hAnsi="Times New Roman" w:cs="Times New Roman" w:hint="eastAsia"/>
          <w:sz w:val="32"/>
          <w:szCs w:val="32"/>
        </w:rPr>
        <w:t>4</w:t>
      </w:r>
      <w:r>
        <w:rPr>
          <w:rFonts w:ascii="Times New Roman" w:eastAsia="仿宋" w:hAnsi="Times New Roman" w:cs="Times New Roman" w:hint="eastAsia"/>
          <w:color w:val="000000"/>
          <w:sz w:val="32"/>
          <w:szCs w:val="32"/>
        </w:rPr>
        <w:t>万元，</w:t>
      </w:r>
      <w:r>
        <w:rPr>
          <w:rFonts w:ascii="Times New Roman" w:eastAsia="仿宋" w:hAnsi="Times New Roman" w:cs="Times New Roman" w:hint="eastAsia"/>
          <w:sz w:val="32"/>
          <w:szCs w:val="32"/>
        </w:rPr>
        <w:t>较</w:t>
      </w:r>
      <w:r>
        <w:rPr>
          <w:rFonts w:ascii="Times New Roman" w:eastAsia="仿宋" w:hAnsi="Times New Roman" w:cs="Times New Roman" w:hint="eastAsia"/>
          <w:sz w:val="32"/>
          <w:szCs w:val="32"/>
        </w:rPr>
        <w:t>20</w:t>
      </w:r>
      <w:r w:rsidR="00397A29">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年</w:t>
      </w:r>
      <w:r w:rsidR="008F0B9D">
        <w:rPr>
          <w:rFonts w:ascii="Times New Roman" w:eastAsia="仿宋" w:hAnsi="Times New Roman" w:cs="Times New Roman" w:hint="eastAsia"/>
          <w:sz w:val="32"/>
          <w:szCs w:val="32"/>
        </w:rPr>
        <w:t>减少</w:t>
      </w:r>
      <w:r w:rsidR="006732DE">
        <w:rPr>
          <w:rFonts w:ascii="Times New Roman" w:eastAsia="仿宋" w:hAnsi="Times New Roman" w:cs="Times New Roman" w:hint="eastAsia"/>
          <w:sz w:val="32"/>
          <w:szCs w:val="32"/>
        </w:rPr>
        <w:t>172.22</w:t>
      </w:r>
      <w:r>
        <w:rPr>
          <w:rFonts w:ascii="Times New Roman" w:eastAsia="仿宋" w:hAnsi="Times New Roman" w:cs="Times New Roman" w:hint="eastAsia"/>
          <w:sz w:val="32"/>
          <w:szCs w:val="32"/>
        </w:rPr>
        <w:t>万元，其中：基本支出</w:t>
      </w:r>
      <w:r w:rsidR="00E51C99">
        <w:rPr>
          <w:rFonts w:ascii="Times New Roman" w:eastAsia="仿宋" w:hAnsi="Times New Roman" w:cs="Times New Roman" w:hint="eastAsia"/>
          <w:sz w:val="32"/>
          <w:szCs w:val="32"/>
        </w:rPr>
        <w:t>减少</w:t>
      </w:r>
      <w:r w:rsidR="006732DE">
        <w:rPr>
          <w:rFonts w:ascii="Times New Roman" w:eastAsia="仿宋" w:hAnsi="Times New Roman" w:cs="Times New Roman" w:hint="eastAsia"/>
          <w:sz w:val="32"/>
          <w:szCs w:val="32"/>
        </w:rPr>
        <w:t>172.22</w:t>
      </w:r>
      <w:r>
        <w:rPr>
          <w:rFonts w:ascii="Times New Roman" w:eastAsia="仿宋" w:hAnsi="Times New Roman" w:cs="Times New Roman" w:hint="eastAsia"/>
          <w:sz w:val="32"/>
          <w:szCs w:val="32"/>
        </w:rPr>
        <w:t>万元，</w:t>
      </w:r>
      <w:r w:rsidR="00626581">
        <w:rPr>
          <w:rFonts w:ascii="Times New Roman" w:eastAsia="仿宋" w:hAnsi="Times New Roman" w:cs="Times New Roman" w:hint="eastAsia"/>
          <w:sz w:val="32"/>
          <w:szCs w:val="32"/>
        </w:rPr>
        <w:t>其中人员经费减少</w:t>
      </w:r>
      <w:r w:rsidR="00626581">
        <w:rPr>
          <w:rFonts w:ascii="Times New Roman" w:eastAsia="仿宋" w:hAnsi="Times New Roman" w:cs="Times New Roman" w:hint="eastAsia"/>
          <w:sz w:val="32"/>
          <w:szCs w:val="32"/>
        </w:rPr>
        <w:t>96.25</w:t>
      </w:r>
      <w:r w:rsidR="00626581">
        <w:rPr>
          <w:rFonts w:ascii="Times New Roman" w:eastAsia="仿宋" w:hAnsi="Times New Roman" w:cs="Times New Roman" w:hint="eastAsia"/>
          <w:sz w:val="32"/>
          <w:szCs w:val="32"/>
        </w:rPr>
        <w:t>万元，</w:t>
      </w:r>
      <w:r w:rsidR="0097482B">
        <w:rPr>
          <w:rFonts w:ascii="Times New Roman" w:eastAsia="仿宋" w:hAnsi="Times New Roman" w:cs="Times New Roman" w:hint="eastAsia"/>
          <w:sz w:val="32"/>
          <w:szCs w:val="32"/>
        </w:rPr>
        <w:t>日常公用</w:t>
      </w:r>
      <w:r w:rsidR="00631C4C" w:rsidRPr="00631C4C">
        <w:rPr>
          <w:rFonts w:ascii="Times New Roman" w:eastAsia="仿宋" w:hAnsi="Times New Roman" w:cs="Times New Roman" w:hint="eastAsia"/>
          <w:sz w:val="32"/>
          <w:szCs w:val="32"/>
        </w:rPr>
        <w:t>经费支出</w:t>
      </w:r>
      <w:r w:rsidR="00626581">
        <w:rPr>
          <w:rFonts w:ascii="Times New Roman" w:eastAsia="仿宋" w:hAnsi="Times New Roman" w:cs="Times New Roman" w:hint="eastAsia"/>
          <w:sz w:val="32"/>
          <w:szCs w:val="32"/>
        </w:rPr>
        <w:t>减少</w:t>
      </w:r>
      <w:r w:rsidR="00626581">
        <w:rPr>
          <w:rFonts w:ascii="Times New Roman" w:eastAsia="仿宋" w:hAnsi="Times New Roman" w:cs="Times New Roman" w:hint="eastAsia"/>
          <w:sz w:val="32"/>
          <w:szCs w:val="32"/>
        </w:rPr>
        <w:t>75.97</w:t>
      </w:r>
      <w:r w:rsidR="00626581">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；项目支出</w:t>
      </w:r>
      <w:r w:rsidR="003E2B15">
        <w:rPr>
          <w:rFonts w:ascii="Times New Roman" w:eastAsia="仿宋" w:hAnsi="Times New Roman" w:cs="Times New Roman" w:hint="eastAsia"/>
          <w:sz w:val="32"/>
          <w:szCs w:val="32"/>
        </w:rPr>
        <w:t>无增减变化</w:t>
      </w:r>
      <w:r>
        <w:rPr>
          <w:rFonts w:ascii="Times New Roman" w:eastAsia="仿宋" w:hAnsi="Times New Roman" w:cs="Times New Roman" w:hint="eastAsia"/>
          <w:sz w:val="32"/>
          <w:szCs w:val="32"/>
        </w:rPr>
        <w:t>；其他支出无增减变化。</w:t>
      </w:r>
    </w:p>
    <w:p w:rsidR="00CD358A" w:rsidRDefault="00446BF7" w:rsidP="00750048">
      <w:pPr>
        <w:pStyle w:val="1"/>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CD358A" w:rsidRPr="003E2B15" w:rsidRDefault="003E2B15" w:rsidP="003E2B15">
      <w:pPr>
        <w:adjustRightInd w:val="0"/>
        <w:snapToGrid w:val="0"/>
        <w:spacing w:line="600" w:lineRule="exact"/>
        <w:ind w:firstLineChars="200" w:firstLine="640"/>
        <w:rPr>
          <w:rFonts w:ascii="仿宋_GB2312" w:eastAsia="仿宋_GB2312" w:hAnsi="仿宋_GB2312" w:cs="仿宋_GB2312"/>
          <w:sz w:val="32"/>
          <w:szCs w:val="32"/>
        </w:rPr>
      </w:pPr>
      <w:r w:rsidRPr="00AC1832">
        <w:rPr>
          <w:rFonts w:ascii="仿宋_GB2312" w:eastAsia="仿宋_GB2312" w:hAnsi="仿宋_GB2312" w:cs="仿宋_GB2312" w:hint="eastAsia"/>
          <w:sz w:val="32"/>
          <w:szCs w:val="32"/>
        </w:rPr>
        <w:t>事业单位</w:t>
      </w:r>
      <w:proofErr w:type="gramStart"/>
      <w:r w:rsidRPr="00AC1832">
        <w:rPr>
          <w:rFonts w:ascii="仿宋_GB2312" w:eastAsia="仿宋_GB2312" w:hAnsi="仿宋_GB2312" w:cs="仿宋_GB2312" w:hint="eastAsia"/>
          <w:sz w:val="32"/>
          <w:szCs w:val="32"/>
        </w:rPr>
        <w:t>无机关</w:t>
      </w:r>
      <w:proofErr w:type="gramEnd"/>
      <w:r w:rsidRPr="00AC1832">
        <w:rPr>
          <w:rFonts w:ascii="仿宋_GB2312" w:eastAsia="仿宋_GB2312" w:hAnsi="仿宋_GB2312" w:cs="仿宋_GB2312" w:hint="eastAsia"/>
          <w:sz w:val="32"/>
          <w:szCs w:val="32"/>
        </w:rPr>
        <w:t>运行经费</w:t>
      </w:r>
      <w:r w:rsidR="00623E42" w:rsidRPr="00623E42">
        <w:rPr>
          <w:rFonts w:ascii="Times New Roman" w:eastAsia="仿宋" w:hAnsi="Times New Roman" w:cs="Times New Roman" w:hint="eastAsia"/>
          <w:sz w:val="32"/>
          <w:szCs w:val="32"/>
        </w:rPr>
        <w:t>。</w:t>
      </w:r>
    </w:p>
    <w:p w:rsidR="00CD358A" w:rsidRDefault="00446BF7" w:rsidP="00750048">
      <w:pPr>
        <w:pStyle w:val="1"/>
        <w:rPr>
          <w:rFonts w:ascii="黑体" w:eastAsia="黑体" w:hAnsi="黑体" w:cs="Times New Roman"/>
          <w:sz w:val="32"/>
          <w:szCs w:val="32"/>
        </w:rPr>
      </w:pPr>
      <w:r>
        <w:rPr>
          <w:rFonts w:ascii="黑体" w:eastAsia="黑体" w:hAnsi="黑体" w:cs="Times New Roman" w:hint="eastAsia"/>
          <w:sz w:val="32"/>
          <w:szCs w:val="32"/>
        </w:rPr>
        <w:lastRenderedPageBreak/>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CD358A" w:rsidRDefault="00446BF7">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202</w:t>
      </w:r>
      <w:r w:rsidR="00220AD1">
        <w:rPr>
          <w:rFonts w:ascii="Times New Roman" w:eastAsia="仿宋" w:hAnsi="Times New Roman" w:cs="Times New Roman" w:hint="eastAsia"/>
          <w:sz w:val="32"/>
          <w:szCs w:val="32"/>
        </w:rPr>
        <w:t>1</w:t>
      </w:r>
      <w:r w:rsidR="003E2B15">
        <w:rPr>
          <w:rFonts w:ascii="Times New Roman" w:eastAsia="仿宋" w:hAnsi="Times New Roman" w:cs="Times New Roman" w:hint="eastAsia"/>
          <w:sz w:val="32"/>
          <w:szCs w:val="32"/>
        </w:rPr>
        <w:t>年，</w:t>
      </w:r>
      <w:proofErr w:type="gramStart"/>
      <w:r w:rsidR="003E2B15">
        <w:rPr>
          <w:rFonts w:ascii="Times New Roman" w:eastAsia="仿宋" w:hAnsi="Times New Roman" w:cs="Times New Roman" w:hint="eastAsia"/>
          <w:sz w:val="32"/>
          <w:szCs w:val="32"/>
        </w:rPr>
        <w:t>我部门</w:t>
      </w:r>
      <w:proofErr w:type="gramEnd"/>
      <w:r w:rsidR="003E2B15">
        <w:rPr>
          <w:rFonts w:ascii="Times New Roman" w:eastAsia="仿宋" w:hAnsi="Times New Roman" w:cs="Times New Roman" w:hint="eastAsia"/>
          <w:sz w:val="32"/>
          <w:szCs w:val="32"/>
        </w:rPr>
        <w:t>无</w:t>
      </w:r>
      <w:r>
        <w:rPr>
          <w:rFonts w:ascii="Times New Roman" w:eastAsia="仿宋" w:hAnsi="Times New Roman" w:cs="Times New Roman" w:hint="eastAsia"/>
          <w:sz w:val="32"/>
          <w:szCs w:val="32"/>
        </w:rPr>
        <w:t>财政拨款“三公”经费预算</w:t>
      </w:r>
      <w:r w:rsidR="003E2B15">
        <w:rPr>
          <w:rFonts w:ascii="Times New Roman" w:eastAsia="仿宋" w:hAnsi="Times New Roman" w:cs="Times New Roman" w:hint="eastAsia"/>
          <w:sz w:val="32"/>
          <w:szCs w:val="32"/>
        </w:rPr>
        <w:t>。</w:t>
      </w:r>
    </w:p>
    <w:p w:rsidR="00CD358A" w:rsidRDefault="00446BF7" w:rsidP="00750048">
      <w:pPr>
        <w:pStyle w:val="1"/>
        <w:rPr>
          <w:rFonts w:ascii="黑体" w:eastAsia="黑体" w:hAnsi="黑体" w:cs="Times New Roman"/>
          <w:sz w:val="32"/>
          <w:szCs w:val="32"/>
        </w:rPr>
      </w:pPr>
      <w:r>
        <w:rPr>
          <w:rFonts w:ascii="黑体" w:eastAsia="黑体" w:hAnsi="黑体" w:cs="Times New Roman" w:hint="eastAsia"/>
          <w:sz w:val="32"/>
          <w:szCs w:val="32"/>
        </w:rPr>
        <w:t>五、预算绩效信息</w:t>
      </w:r>
    </w:p>
    <w:p w:rsidR="00CD358A" w:rsidRDefault="00446BF7" w:rsidP="00750048">
      <w:pPr>
        <w:pStyle w:val="3"/>
        <w:rPr>
          <w:rFonts w:ascii="Times New Roman" w:eastAsia="方正仿宋_GBK" w:hAnsi="Times New Roman" w:cs="Times New Roman"/>
          <w:b w:val="0"/>
        </w:rPr>
      </w:pPr>
      <w:bookmarkStart w:id="0" w:name="_Toc471398463"/>
      <w:r>
        <w:rPr>
          <w:rFonts w:ascii="Times New Roman" w:eastAsia="方正仿宋_GBK" w:hAnsi="Times New Roman" w:cs="Times New Roman" w:hint="eastAsia"/>
          <w:b w:val="0"/>
        </w:rPr>
        <w:t>（一）总体绩效目标</w:t>
      </w:r>
      <w:r w:rsidR="007D7820">
        <w:rPr>
          <w:rFonts w:ascii="Times New Roman" w:eastAsia="方正仿宋_GBK" w:hAnsi="Times New Roman" w:cs="Times New Roman" w:hint="eastAsia"/>
          <w:b w:val="0"/>
        </w:rPr>
        <w:fldChar w:fldCharType="begin"/>
      </w:r>
      <w:r>
        <w:rPr>
          <w:rFonts w:ascii="Times New Roman" w:eastAsia="方正仿宋_GBK" w:hAnsi="Times New Roman" w:cs="Times New Roman" w:hint="eastAsia"/>
          <w:b w:val="0"/>
        </w:rPr>
        <w:instrText xml:space="preserve"> TC </w:instrText>
      </w:r>
      <w:bookmarkStart w:id="1" w:name="_Toc29484628"/>
      <w:r>
        <w:rPr>
          <w:rFonts w:ascii="Times New Roman" w:eastAsia="方正仿宋_GBK" w:hAnsi="Times New Roman" w:cs="Times New Roman" w:hint="eastAsia"/>
          <w:b w:val="0"/>
        </w:rPr>
        <w:instrText>总体绩效目标</w:instrText>
      </w:r>
      <w:bookmarkEnd w:id="1"/>
      <w:r>
        <w:rPr>
          <w:rFonts w:ascii="Times New Roman" w:eastAsia="方正仿宋_GBK" w:hAnsi="Times New Roman" w:cs="Times New Roman" w:hint="eastAsia"/>
          <w:b w:val="0"/>
        </w:rPr>
        <w:instrText xml:space="preserve"> \f A \l 1 </w:instrText>
      </w:r>
      <w:r w:rsidR="007D7820">
        <w:rPr>
          <w:rFonts w:ascii="Times New Roman" w:eastAsia="方正仿宋_GBK" w:hAnsi="Times New Roman" w:cs="Times New Roman" w:hint="eastAsia"/>
          <w:b w:val="0"/>
        </w:rPr>
        <w:fldChar w:fldCharType="end"/>
      </w:r>
    </w:p>
    <w:p w:rsidR="00BF3F98" w:rsidRPr="002304EF" w:rsidRDefault="00BF3F98" w:rsidP="00BF3F98">
      <w:pPr>
        <w:ind w:firstLineChars="200" w:firstLine="560"/>
        <w:jc w:val="left"/>
        <w:outlineLvl w:val="1"/>
        <w:rPr>
          <w:rFonts w:ascii="Times New Roman" w:hAnsi="宋体"/>
          <w:sz w:val="28"/>
        </w:rPr>
      </w:pPr>
      <w:bookmarkStart w:id="2" w:name="_Toc68617199"/>
      <w:r w:rsidRPr="002304EF">
        <w:rPr>
          <w:rFonts w:ascii="方正黑体_GBK" w:eastAsia="方正黑体_GBK" w:hint="eastAsia"/>
          <w:sz w:val="28"/>
        </w:rPr>
        <w:t>一、总体绩效目标</w:t>
      </w:r>
      <w:bookmarkEnd w:id="2"/>
      <w:r w:rsidR="007D7820">
        <w:rPr>
          <w:rFonts w:ascii="方正黑体_GBK" w:eastAsia="方正黑体_GBK"/>
          <w:sz w:val="28"/>
        </w:rPr>
        <w:fldChar w:fldCharType="begin"/>
      </w:r>
      <w:r>
        <w:rPr>
          <w:rFonts w:ascii="方正黑体_GBK" w:eastAsia="方正黑体_GBK" w:hint="eastAsia"/>
          <w:sz w:val="28"/>
        </w:rPr>
        <w:instrText>TC 总体绩效目标 \f A \l 1</w:instrText>
      </w:r>
      <w:r w:rsidR="007D7820">
        <w:rPr>
          <w:rFonts w:ascii="方正黑体_GBK" w:eastAsia="方正黑体_GBK"/>
          <w:sz w:val="28"/>
        </w:rPr>
        <w:fldChar w:fldCharType="end"/>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在区委、区政府的正确领导下，深入学习贯彻习近平新时代中国特色社会主义思想和党的十九届五中全会精神，扎实推进教育信息化，扩充优质教育资源，全力办好人民群众家门口的好学校。着力促进基层党建质量提升攻坚，深入推进习近平新时代中国特色社会主义思想进教材、进课堂、进头脑，全面加强学校德育、体育、美育、卫生健康建设，健全立德树人机制，进一步落实班主任、</w:t>
      </w:r>
      <w:proofErr w:type="gramStart"/>
      <w:r w:rsidRPr="008265B3">
        <w:rPr>
          <w:rFonts w:ascii="仿宋" w:eastAsia="仿宋" w:hAnsi="仿宋"/>
          <w:sz w:val="32"/>
          <w:szCs w:val="32"/>
        </w:rPr>
        <w:t>思政教师</w:t>
      </w:r>
      <w:proofErr w:type="gramEnd"/>
      <w:r w:rsidRPr="008265B3">
        <w:rPr>
          <w:rFonts w:ascii="仿宋" w:eastAsia="仿宋" w:hAnsi="仿宋"/>
          <w:sz w:val="32"/>
          <w:szCs w:val="32"/>
        </w:rPr>
        <w:t>岗位津贴，扶持美育、社团发展。加大基础教育投入力度；完善城乡义务教育经费保障机制，健全</w:t>
      </w:r>
      <w:proofErr w:type="gramStart"/>
      <w:r w:rsidRPr="008265B3">
        <w:rPr>
          <w:rFonts w:ascii="仿宋" w:eastAsia="仿宋" w:hAnsi="仿宋"/>
          <w:sz w:val="32"/>
          <w:szCs w:val="32"/>
        </w:rPr>
        <w:t>控辍保学工</w:t>
      </w:r>
      <w:proofErr w:type="gramEnd"/>
      <w:r w:rsidRPr="008265B3">
        <w:rPr>
          <w:rFonts w:ascii="仿宋" w:eastAsia="仿宋" w:hAnsi="仿宋"/>
          <w:sz w:val="32"/>
          <w:szCs w:val="32"/>
        </w:rPr>
        <w:t>作机制，推动义务教育优质均衡发展，九年义务教育巩固率达到100%；全面深化新时代教师队伍建设改革，开展好“三支队伍”培训，努力培养造就一支党和人民满意的教师队伍。</w:t>
      </w:r>
    </w:p>
    <w:p w:rsidR="00BF3F98" w:rsidRPr="008265B3" w:rsidRDefault="00BF3F98" w:rsidP="008265B3">
      <w:pPr>
        <w:spacing w:line="500" w:lineRule="exact"/>
        <w:ind w:firstLineChars="200" w:firstLine="640"/>
        <w:jc w:val="left"/>
        <w:outlineLvl w:val="1"/>
        <w:rPr>
          <w:rFonts w:ascii="仿宋" w:eastAsia="仿宋" w:hAnsi="仿宋"/>
          <w:sz w:val="32"/>
          <w:szCs w:val="32"/>
        </w:rPr>
      </w:pPr>
      <w:bookmarkStart w:id="3" w:name="_Toc68617200"/>
      <w:r w:rsidRPr="008265B3">
        <w:rPr>
          <w:rFonts w:ascii="仿宋" w:eastAsia="仿宋" w:hAnsi="仿宋" w:hint="eastAsia"/>
          <w:sz w:val="32"/>
          <w:szCs w:val="32"/>
        </w:rPr>
        <w:t>二、分项绩效目标</w:t>
      </w:r>
      <w:bookmarkEnd w:id="3"/>
      <w:r w:rsidR="007D7820" w:rsidRPr="008265B3">
        <w:rPr>
          <w:rFonts w:ascii="仿宋" w:eastAsia="仿宋" w:hAnsi="仿宋"/>
          <w:sz w:val="32"/>
          <w:szCs w:val="32"/>
        </w:rPr>
        <w:fldChar w:fldCharType="begin"/>
      </w:r>
      <w:r w:rsidRPr="008265B3">
        <w:rPr>
          <w:rFonts w:ascii="仿宋" w:eastAsia="仿宋" w:hAnsi="仿宋" w:hint="eastAsia"/>
          <w:sz w:val="32"/>
          <w:szCs w:val="32"/>
        </w:rPr>
        <w:instrText>TC 分项绩效目标 \f A \l 1</w:instrText>
      </w:r>
      <w:r w:rsidR="007D7820" w:rsidRPr="008265B3">
        <w:rPr>
          <w:rFonts w:ascii="仿宋" w:eastAsia="仿宋" w:hAnsi="仿宋"/>
          <w:sz w:val="32"/>
          <w:szCs w:val="32"/>
        </w:rPr>
        <w:fldChar w:fldCharType="end"/>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（一）党建引领，强力推进德育体育美育卫生健康工作</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绩效目标：改进德育工作方式，完善评价制度，构建以社会主义核心价值观为统领的一体化德育体系。培养学生爱国主义民族精神和中国特色社会主义理想信念。深入推进习近平新时代中国特色社会主义思想进教材、进课堂、进头脑。</w:t>
      </w:r>
      <w:r w:rsidRPr="008265B3">
        <w:rPr>
          <w:rFonts w:ascii="仿宋" w:eastAsia="仿宋" w:hAnsi="仿宋"/>
          <w:sz w:val="32"/>
          <w:szCs w:val="32"/>
        </w:rPr>
        <w:lastRenderedPageBreak/>
        <w:t>深化体育教学改革，完善校园体育竞赛体系，全面提高在校学生身体素质。补充和完善艺术教育活动内容，提高艺术教育活动质量和水平，推动校园文化艺术环境建设，创建美育特色学校。配备保健教师或卫生专业技术人员，促进学校卫生健康工作，维护广大师生身心健康。</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绩效指标：不断提高</w:t>
      </w:r>
      <w:proofErr w:type="gramStart"/>
      <w:r w:rsidRPr="008265B3">
        <w:rPr>
          <w:rFonts w:ascii="仿宋" w:eastAsia="仿宋" w:hAnsi="仿宋"/>
          <w:sz w:val="32"/>
          <w:szCs w:val="32"/>
        </w:rPr>
        <w:t>思政课</w:t>
      </w:r>
      <w:proofErr w:type="gramEnd"/>
      <w:r w:rsidRPr="008265B3">
        <w:rPr>
          <w:rFonts w:ascii="仿宋" w:eastAsia="仿宋" w:hAnsi="仿宋"/>
          <w:sz w:val="32"/>
          <w:szCs w:val="32"/>
        </w:rPr>
        <w:t>质量、水平。深入开展理想信念教育、爱国主义教育等活动。扶持足球、田径、冰雪、乒乓球等特色</w:t>
      </w:r>
      <w:r w:rsidR="00481492">
        <w:rPr>
          <w:rFonts w:ascii="仿宋" w:eastAsia="仿宋" w:hAnsi="仿宋" w:hint="eastAsia"/>
          <w:sz w:val="32"/>
          <w:szCs w:val="32"/>
        </w:rPr>
        <w:t>教育，</w:t>
      </w:r>
      <w:r w:rsidRPr="008265B3">
        <w:rPr>
          <w:rFonts w:ascii="仿宋" w:eastAsia="仿宋" w:hAnsi="仿宋"/>
          <w:sz w:val="32"/>
          <w:szCs w:val="32"/>
        </w:rPr>
        <w:t>参加各级各类体育赛事。</w:t>
      </w:r>
      <w:r w:rsidR="00151EFD">
        <w:rPr>
          <w:rFonts w:ascii="仿宋" w:eastAsia="仿宋" w:hAnsi="仿宋"/>
          <w:sz w:val="32"/>
          <w:szCs w:val="32"/>
        </w:rPr>
        <w:t>扶持美育特色</w:t>
      </w:r>
      <w:r w:rsidR="00151EFD">
        <w:rPr>
          <w:rFonts w:ascii="仿宋" w:eastAsia="仿宋" w:hAnsi="仿宋" w:hint="eastAsia"/>
          <w:sz w:val="32"/>
          <w:szCs w:val="32"/>
        </w:rPr>
        <w:t>教育</w:t>
      </w:r>
      <w:r w:rsidRPr="008265B3">
        <w:rPr>
          <w:rFonts w:ascii="仿宋" w:eastAsia="仿宋" w:hAnsi="仿宋"/>
          <w:sz w:val="32"/>
          <w:szCs w:val="32"/>
        </w:rPr>
        <w:t>，推动学校社团特色发展。</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（二）强基固本，推进基础教育再上新台阶</w:t>
      </w:r>
      <w:r w:rsidR="00151EFD">
        <w:rPr>
          <w:rFonts w:ascii="仿宋" w:eastAsia="仿宋" w:hAnsi="仿宋" w:hint="eastAsia"/>
          <w:sz w:val="32"/>
          <w:szCs w:val="32"/>
        </w:rPr>
        <w:t>，</w:t>
      </w:r>
      <w:r w:rsidRPr="00470C03">
        <w:rPr>
          <w:rFonts w:ascii="仿宋" w:eastAsia="仿宋" w:hAnsi="仿宋"/>
          <w:sz w:val="32"/>
          <w:szCs w:val="32"/>
        </w:rPr>
        <w:t>做强优质义务教育</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绩效目标：落实义务教育生均公用经费，保障城乡中小学正常运转；家庭经济困难学生享受生活费补助，向所有城乡义务教育阶段学生免费提供教科书;深化学区管理制改革，保障教育教学顺利实施，扩大义务教育学位供给。改善义务教育办学条件，提升义务教育质量，重点解决现阶段人民群众反映强烈的突出问题，按照“缺什么补什么”的原则，补齐义务教育基本办学条件短板，重点实施消除城镇学校大班额、完善学校安防设施等工作。</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绩效指标：城乡义务教育年生均公用经费（含取暖费）拨款标准达到小学735元、初中935元，符合条件的家庭经济困难学生全部享受生活费补助。城乡义务教育寄宿生生活补助达到小学每生每年1000元，初中每生每年1250元，非寄宿生活补助达到小学每生每年500元，初中每生每年625元。所有城乡义务教育阶段学生免费发放教科书，义务教育实现基本均衡。教师、学生对城乡义务教育经费的综合满意度≥95%。</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lastRenderedPageBreak/>
        <w:t>（三）加强教师队伍建设，锻造一支素质优良、名师辈出、幸福满满的教师队伍。</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绩效目标：开展“三支队伍”培训，提高特殊群体教师待遇，开展三区支教，开展教师幸福工程，教师待遇和社会地位不断提升，教师队伍吸引力不断增强。</w:t>
      </w:r>
    </w:p>
    <w:p w:rsidR="00BF3F98" w:rsidRPr="008265B3" w:rsidRDefault="006D2F1F" w:rsidP="008265B3">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绩效指标：开展新教师、名师、骨干教师、校长队伍</w:t>
      </w:r>
      <w:r w:rsidR="00BF3F98" w:rsidRPr="008265B3">
        <w:rPr>
          <w:rFonts w:ascii="仿宋" w:eastAsia="仿宋" w:hAnsi="仿宋"/>
          <w:sz w:val="32"/>
          <w:szCs w:val="32"/>
        </w:rPr>
        <w:t>等各类培训，按每人400元标准为全</w:t>
      </w:r>
      <w:r w:rsidR="007E0D07">
        <w:rPr>
          <w:rFonts w:ascii="仿宋" w:eastAsia="仿宋" w:hAnsi="仿宋" w:hint="eastAsia"/>
          <w:sz w:val="32"/>
          <w:szCs w:val="32"/>
        </w:rPr>
        <w:t>校</w:t>
      </w:r>
      <w:r w:rsidR="00BF3F98" w:rsidRPr="008265B3">
        <w:rPr>
          <w:rFonts w:ascii="仿宋" w:eastAsia="仿宋" w:hAnsi="仿宋"/>
          <w:sz w:val="32"/>
          <w:szCs w:val="32"/>
        </w:rPr>
        <w:t>约</w:t>
      </w:r>
      <w:r w:rsidR="000F043C">
        <w:rPr>
          <w:rFonts w:ascii="仿宋" w:eastAsia="仿宋" w:hAnsi="仿宋" w:hint="eastAsia"/>
          <w:sz w:val="32"/>
          <w:szCs w:val="32"/>
        </w:rPr>
        <w:t>150</w:t>
      </w:r>
      <w:r w:rsidR="007E0D07">
        <w:rPr>
          <w:rFonts w:ascii="仿宋" w:eastAsia="仿宋" w:hAnsi="仿宋"/>
          <w:sz w:val="32"/>
          <w:szCs w:val="32"/>
        </w:rPr>
        <w:t>名教师安排教师体检费，为全</w:t>
      </w:r>
      <w:r w:rsidR="007E0D07">
        <w:rPr>
          <w:rFonts w:ascii="仿宋" w:eastAsia="仿宋" w:hAnsi="仿宋" w:hint="eastAsia"/>
          <w:sz w:val="32"/>
          <w:szCs w:val="32"/>
        </w:rPr>
        <w:t>校</w:t>
      </w:r>
      <w:r w:rsidR="00BF3F98" w:rsidRPr="008265B3">
        <w:rPr>
          <w:rFonts w:ascii="仿宋" w:eastAsia="仿宋" w:hAnsi="仿宋"/>
          <w:sz w:val="32"/>
          <w:szCs w:val="32"/>
        </w:rPr>
        <w:t>约</w:t>
      </w:r>
      <w:r w:rsidR="007E0D07">
        <w:rPr>
          <w:rFonts w:ascii="仿宋" w:eastAsia="仿宋" w:hAnsi="仿宋" w:hint="eastAsia"/>
          <w:sz w:val="32"/>
          <w:szCs w:val="32"/>
        </w:rPr>
        <w:t>150</w:t>
      </w:r>
      <w:r w:rsidR="00BF3F98" w:rsidRPr="008265B3">
        <w:rPr>
          <w:rFonts w:ascii="仿宋" w:eastAsia="仿宋" w:hAnsi="仿宋"/>
          <w:sz w:val="32"/>
          <w:szCs w:val="32"/>
        </w:rPr>
        <w:t>名教师投保校方责任险，义务教育阶段教师素质能力进一步提升。</w:t>
      </w:r>
    </w:p>
    <w:p w:rsidR="00BF3F98" w:rsidRPr="008265B3" w:rsidRDefault="00BF3F98" w:rsidP="008265B3">
      <w:pPr>
        <w:spacing w:line="500" w:lineRule="exact"/>
        <w:ind w:firstLineChars="200" w:firstLine="640"/>
        <w:jc w:val="left"/>
        <w:outlineLvl w:val="1"/>
        <w:rPr>
          <w:rFonts w:ascii="仿宋" w:eastAsia="仿宋" w:hAnsi="仿宋"/>
          <w:sz w:val="32"/>
          <w:szCs w:val="32"/>
        </w:rPr>
      </w:pPr>
      <w:bookmarkStart w:id="4" w:name="_Toc68617201"/>
      <w:r w:rsidRPr="008265B3">
        <w:rPr>
          <w:rFonts w:ascii="仿宋" w:eastAsia="仿宋" w:hAnsi="仿宋" w:hint="eastAsia"/>
          <w:sz w:val="32"/>
          <w:szCs w:val="32"/>
        </w:rPr>
        <w:t>三、工作保障措施</w:t>
      </w:r>
      <w:bookmarkEnd w:id="4"/>
      <w:r w:rsidR="007D7820" w:rsidRPr="008265B3">
        <w:rPr>
          <w:rFonts w:ascii="仿宋" w:eastAsia="仿宋" w:hAnsi="仿宋"/>
          <w:sz w:val="32"/>
          <w:szCs w:val="32"/>
        </w:rPr>
        <w:fldChar w:fldCharType="begin"/>
      </w:r>
      <w:r w:rsidRPr="008265B3">
        <w:rPr>
          <w:rFonts w:ascii="仿宋" w:eastAsia="仿宋" w:hAnsi="仿宋" w:hint="eastAsia"/>
          <w:sz w:val="32"/>
          <w:szCs w:val="32"/>
        </w:rPr>
        <w:instrText>TC 工作保障措施 \f A \l 1</w:instrText>
      </w:r>
      <w:r w:rsidR="007D7820" w:rsidRPr="008265B3">
        <w:rPr>
          <w:rFonts w:ascii="仿宋" w:eastAsia="仿宋" w:hAnsi="仿宋"/>
          <w:sz w:val="32"/>
          <w:szCs w:val="32"/>
        </w:rPr>
        <w:fldChar w:fldCharType="end"/>
      </w:r>
    </w:p>
    <w:p w:rsidR="00BF3F98" w:rsidRPr="008265B3" w:rsidRDefault="002E4CE8" w:rsidP="008265B3">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石家庄市第四十中学</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2021年工作措施</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 xml:space="preserve"> (一）加强组织领导。成立由</w:t>
      </w:r>
      <w:r w:rsidR="00025DD7">
        <w:rPr>
          <w:rFonts w:ascii="仿宋" w:eastAsia="仿宋" w:hAnsi="仿宋" w:hint="eastAsia"/>
          <w:sz w:val="32"/>
          <w:szCs w:val="32"/>
        </w:rPr>
        <w:t>学校</w:t>
      </w:r>
      <w:r w:rsidRPr="008265B3">
        <w:rPr>
          <w:rFonts w:ascii="仿宋" w:eastAsia="仿宋" w:hAnsi="仿宋"/>
          <w:sz w:val="32"/>
          <w:szCs w:val="32"/>
        </w:rPr>
        <w:t>主要领导同志任组长、相关</w:t>
      </w:r>
      <w:r w:rsidR="00025DD7">
        <w:rPr>
          <w:rFonts w:ascii="仿宋" w:eastAsia="仿宋" w:hAnsi="仿宋" w:hint="eastAsia"/>
          <w:sz w:val="32"/>
          <w:szCs w:val="32"/>
        </w:rPr>
        <w:t>处室</w:t>
      </w:r>
      <w:r w:rsidR="00FA39B5">
        <w:rPr>
          <w:rFonts w:ascii="仿宋" w:eastAsia="仿宋" w:hAnsi="仿宋" w:hint="eastAsia"/>
          <w:sz w:val="32"/>
          <w:szCs w:val="32"/>
        </w:rPr>
        <w:t>主任</w:t>
      </w:r>
      <w:r w:rsidRPr="008265B3">
        <w:rPr>
          <w:rFonts w:ascii="仿宋" w:eastAsia="仿宋" w:hAnsi="仿宋"/>
          <w:sz w:val="32"/>
          <w:szCs w:val="32"/>
        </w:rPr>
        <w:t>为成员的预算绩效工作领导小组，领导小组办公室设在</w:t>
      </w:r>
      <w:r w:rsidR="00F215EC">
        <w:rPr>
          <w:rFonts w:ascii="仿宋" w:eastAsia="仿宋" w:hAnsi="仿宋" w:hint="eastAsia"/>
          <w:sz w:val="32"/>
          <w:szCs w:val="32"/>
        </w:rPr>
        <w:t>总务处</w:t>
      </w:r>
      <w:r w:rsidRPr="008265B3">
        <w:rPr>
          <w:rFonts w:ascii="仿宋" w:eastAsia="仿宋" w:hAnsi="仿宋"/>
          <w:sz w:val="32"/>
          <w:szCs w:val="32"/>
        </w:rPr>
        <w:t>，</w:t>
      </w:r>
      <w:r w:rsidR="00EA03C2">
        <w:rPr>
          <w:rFonts w:ascii="仿宋" w:eastAsia="仿宋" w:hAnsi="仿宋" w:hint="eastAsia"/>
          <w:sz w:val="32"/>
          <w:szCs w:val="32"/>
        </w:rPr>
        <w:t>总务处</w:t>
      </w:r>
      <w:r w:rsidRPr="008265B3">
        <w:rPr>
          <w:rFonts w:ascii="仿宋" w:eastAsia="仿宋" w:hAnsi="仿宋"/>
          <w:sz w:val="32"/>
          <w:szCs w:val="32"/>
        </w:rPr>
        <w:t>督促相关</w:t>
      </w:r>
      <w:r w:rsidR="00EA03C2">
        <w:rPr>
          <w:rFonts w:ascii="仿宋" w:eastAsia="仿宋" w:hAnsi="仿宋" w:hint="eastAsia"/>
          <w:sz w:val="32"/>
          <w:szCs w:val="32"/>
        </w:rPr>
        <w:t>处</w:t>
      </w:r>
      <w:r w:rsidRPr="008265B3">
        <w:rPr>
          <w:rFonts w:ascii="仿宋" w:eastAsia="仿宋" w:hAnsi="仿宋"/>
          <w:sz w:val="32"/>
          <w:szCs w:val="32"/>
        </w:rPr>
        <w:t>室落实年度总体绩效目标和分项绩效目标，确保绩效目标年内全部完成。</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（二）加快支出进度。以项目预算绩效为依据，优化支出结构，资金支出安排科学合理。督促指导各</w:t>
      </w:r>
      <w:r w:rsidR="00EA03C2">
        <w:rPr>
          <w:rFonts w:ascii="仿宋" w:eastAsia="仿宋" w:hAnsi="仿宋" w:hint="eastAsia"/>
          <w:sz w:val="32"/>
          <w:szCs w:val="32"/>
        </w:rPr>
        <w:t>处</w:t>
      </w:r>
      <w:proofErr w:type="gramStart"/>
      <w:r w:rsidRPr="008265B3">
        <w:rPr>
          <w:rFonts w:ascii="仿宋" w:eastAsia="仿宋" w:hAnsi="仿宋"/>
          <w:sz w:val="32"/>
          <w:szCs w:val="32"/>
        </w:rPr>
        <w:t>室严格</w:t>
      </w:r>
      <w:proofErr w:type="gramEnd"/>
      <w:r w:rsidRPr="008265B3">
        <w:rPr>
          <w:rFonts w:ascii="仿宋" w:eastAsia="仿宋" w:hAnsi="仿宋"/>
          <w:sz w:val="32"/>
          <w:szCs w:val="32"/>
        </w:rPr>
        <w:t>履行政府采购手续，尽快启动项目，加快资金支出，确保支出进度达标。</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（三）加强绩效监控。按要求开展绩效运行监控，全程跟踪预算执行进度，专项经费实行“谁分配、谁监管”</w:t>
      </w:r>
      <w:r w:rsidR="003813D0">
        <w:rPr>
          <w:rFonts w:ascii="仿宋" w:eastAsia="仿宋" w:hAnsi="仿宋"/>
          <w:sz w:val="32"/>
          <w:szCs w:val="32"/>
        </w:rPr>
        <w:t>的机制</w:t>
      </w:r>
      <w:r w:rsidRPr="008265B3">
        <w:rPr>
          <w:rFonts w:ascii="仿宋" w:eastAsia="仿宋" w:hAnsi="仿宋"/>
          <w:sz w:val="32"/>
          <w:szCs w:val="32"/>
        </w:rPr>
        <w:t>。对执行工程中的发现的问题及时反馈，制定切实可行举措，保证绩效目标按期高质量完成。</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（四）开展绩效自评。积极开展部门预算绩效自评工作，对自评中发现的问题及时整改解决，开展重点评价工作，调整优化重大项目支出结构，提高财政资金使用效益。</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lastRenderedPageBreak/>
        <w:t>（五）完善绩效评价制度。继续完善资金绩效综合评价办法。开展专项资金和重点项目绩效自评工作。</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六）规范财务资产管理。对固定资产进行全面清查，摸清“家底”，优化资源配置，避免资产浪费。加强固定资产登记、使用和报废处置管理，做到支出合理，物尽其用。推进预决算和“三公”经费公开，实行“阳光财务”。</w:t>
      </w:r>
    </w:p>
    <w:p w:rsidR="00BF3F98" w:rsidRPr="008265B3"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七）强化内部监督。督促各学校完善内控制度，对专项资金绩效运行情况、重大支出决策、资产处置及其他重要经济业务事项的决策和执行进行督导，加大内部审计力度，并配合做好审计、财政监督等外部监督工作，确保财政资金安全有效。</w:t>
      </w:r>
    </w:p>
    <w:p w:rsidR="00BF3F98" w:rsidRDefault="00BF3F98" w:rsidP="008265B3">
      <w:pPr>
        <w:spacing w:line="500" w:lineRule="exact"/>
        <w:ind w:firstLineChars="200" w:firstLine="640"/>
        <w:jc w:val="left"/>
        <w:rPr>
          <w:rFonts w:ascii="仿宋" w:eastAsia="仿宋" w:hAnsi="仿宋"/>
          <w:sz w:val="32"/>
          <w:szCs w:val="32"/>
        </w:rPr>
      </w:pPr>
      <w:r w:rsidRPr="008265B3">
        <w:rPr>
          <w:rFonts w:ascii="仿宋" w:eastAsia="仿宋" w:hAnsi="仿宋"/>
          <w:sz w:val="32"/>
          <w:szCs w:val="32"/>
        </w:rPr>
        <w:t>（八）加大财务培训力度。</w:t>
      </w:r>
      <w:r w:rsidR="00E06555">
        <w:rPr>
          <w:rFonts w:ascii="仿宋" w:eastAsia="仿宋" w:hAnsi="仿宋" w:hint="eastAsia"/>
          <w:sz w:val="32"/>
          <w:szCs w:val="32"/>
        </w:rPr>
        <w:t>积极参加教育系统组织的</w:t>
      </w:r>
      <w:r w:rsidRPr="008265B3">
        <w:rPr>
          <w:rFonts w:ascii="仿宋" w:eastAsia="仿宋" w:hAnsi="仿宋"/>
          <w:sz w:val="32"/>
          <w:szCs w:val="32"/>
        </w:rPr>
        <w:t>依托财经类高校、邀请省市财经类专家开展业务培训，提升业务水平。强化预算绩效管理意识，促进预算绩效管理水平进一步提升。</w:t>
      </w:r>
    </w:p>
    <w:p w:rsidR="00E06555" w:rsidRDefault="006B11AD" w:rsidP="006B11AD">
      <w:pPr>
        <w:spacing w:line="500" w:lineRule="exact"/>
        <w:jc w:val="left"/>
        <w:rPr>
          <w:rFonts w:ascii="黑体" w:eastAsia="黑体" w:hAnsi="黑体" w:cs="Times New Roman"/>
          <w:sz w:val="32"/>
          <w:szCs w:val="32"/>
        </w:rPr>
      </w:pPr>
      <w:r w:rsidRPr="006B11AD">
        <w:rPr>
          <w:rFonts w:ascii="黑体" w:eastAsia="黑体" w:hAnsi="黑体" w:cs="Times New Roman" w:hint="eastAsia"/>
          <w:sz w:val="32"/>
          <w:szCs w:val="32"/>
        </w:rPr>
        <w:t>六、政府采购预算情况</w:t>
      </w:r>
    </w:p>
    <w:p w:rsidR="006B11AD" w:rsidRDefault="006B11AD" w:rsidP="006B11AD">
      <w:pPr>
        <w:ind w:firstLine="640"/>
        <w:rPr>
          <w:rFonts w:ascii="Times New Roman" w:eastAsia="仿宋" w:hAnsi="Times New Roman" w:cs="Times New Roman"/>
          <w:color w:val="000000"/>
          <w:sz w:val="32"/>
          <w:szCs w:val="32"/>
        </w:rPr>
      </w:pPr>
      <w:r>
        <w:rPr>
          <w:rFonts w:ascii="Times New Roman" w:eastAsia="仿宋" w:hAnsi="Times New Roman" w:cs="Times New Roman"/>
          <w:sz w:val="32"/>
          <w:szCs w:val="24"/>
        </w:rPr>
        <w:t>20</w:t>
      </w:r>
      <w:r>
        <w:rPr>
          <w:rFonts w:ascii="Times New Roman" w:eastAsia="仿宋" w:hAnsi="Times New Roman" w:cs="Times New Roman" w:hint="eastAsia"/>
          <w:sz w:val="32"/>
          <w:szCs w:val="24"/>
        </w:rPr>
        <w:t>21</w:t>
      </w:r>
      <w:r>
        <w:rPr>
          <w:rFonts w:ascii="Times New Roman" w:eastAsia="仿宋" w:hAnsi="Times New Roman" w:cs="Times New Roman"/>
          <w:sz w:val="32"/>
          <w:szCs w:val="24"/>
        </w:rPr>
        <w:t>年，</w:t>
      </w:r>
      <w:proofErr w:type="gramStart"/>
      <w:r>
        <w:rPr>
          <w:rFonts w:ascii="Times New Roman" w:eastAsia="仿宋" w:hAnsi="Times New Roman" w:cs="Times New Roman" w:hint="eastAsia"/>
          <w:sz w:val="32"/>
          <w:szCs w:val="24"/>
        </w:rPr>
        <w:t>我部门</w:t>
      </w:r>
      <w:proofErr w:type="gramEnd"/>
      <w:r>
        <w:rPr>
          <w:rFonts w:ascii="Times New Roman" w:eastAsia="仿宋" w:hAnsi="Times New Roman" w:cs="Times New Roman"/>
          <w:sz w:val="32"/>
          <w:szCs w:val="24"/>
        </w:rPr>
        <w:t>安排政府采购预算</w:t>
      </w:r>
      <w:r>
        <w:rPr>
          <w:rFonts w:ascii="Times New Roman" w:eastAsia="仿宋" w:hAnsi="Times New Roman" w:cs="Times New Roman" w:hint="eastAsia"/>
          <w:sz w:val="32"/>
          <w:szCs w:val="24"/>
        </w:rPr>
        <w:t>1.71</w:t>
      </w:r>
      <w:r>
        <w:rPr>
          <w:rFonts w:ascii="Times New Roman" w:eastAsia="仿宋" w:hAnsi="Times New Roman" w:cs="Times New Roman"/>
          <w:sz w:val="32"/>
          <w:szCs w:val="24"/>
        </w:rPr>
        <w:t>万元。</w:t>
      </w:r>
      <w:r w:rsidRPr="00750048">
        <w:rPr>
          <w:rFonts w:ascii="Times New Roman" w:eastAsia="仿宋" w:hAnsi="Times New Roman" w:cs="Times New Roman"/>
          <w:color w:val="000000"/>
          <w:sz w:val="32"/>
          <w:szCs w:val="32"/>
        </w:rPr>
        <w:t>已列入</w:t>
      </w:r>
      <w:r>
        <w:rPr>
          <w:rFonts w:ascii="Times New Roman" w:eastAsia="仿宋" w:hAnsi="Times New Roman" w:cs="Times New Roman" w:hint="eastAsia"/>
          <w:color w:val="000000"/>
          <w:sz w:val="32"/>
          <w:szCs w:val="32"/>
        </w:rPr>
        <w:t>教育局城乡义务教育经费项目</w:t>
      </w:r>
      <w:r w:rsidRPr="00750048">
        <w:rPr>
          <w:rFonts w:ascii="Times New Roman" w:eastAsia="仿宋" w:hAnsi="Times New Roman" w:cs="Times New Roman"/>
          <w:color w:val="000000"/>
          <w:sz w:val="32"/>
          <w:szCs w:val="32"/>
        </w:rPr>
        <w:t>政府采购预算</w:t>
      </w:r>
      <w:r w:rsidRPr="00750048">
        <w:rPr>
          <w:rFonts w:ascii="Times New Roman" w:eastAsia="仿宋" w:hAnsi="Times New Roman" w:cs="Times New Roman" w:hint="eastAsia"/>
          <w:color w:val="000000"/>
          <w:sz w:val="32"/>
          <w:szCs w:val="32"/>
        </w:rPr>
        <w:t>。</w:t>
      </w:r>
    </w:p>
    <w:tbl>
      <w:tblPr>
        <w:tblW w:w="101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6"/>
        <w:gridCol w:w="709"/>
        <w:gridCol w:w="1418"/>
        <w:gridCol w:w="1559"/>
        <w:gridCol w:w="527"/>
        <w:gridCol w:w="567"/>
        <w:gridCol w:w="708"/>
        <w:gridCol w:w="709"/>
        <w:gridCol w:w="709"/>
        <w:gridCol w:w="425"/>
        <w:gridCol w:w="709"/>
        <w:gridCol w:w="425"/>
        <w:gridCol w:w="425"/>
      </w:tblGrid>
      <w:tr w:rsidR="006B11AD" w:rsidRPr="000A6F56" w:rsidTr="006D2F1F">
        <w:trPr>
          <w:cantSplit/>
          <w:jc w:val="center"/>
        </w:trPr>
        <w:tc>
          <w:tcPr>
            <w:tcW w:w="19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政府采购项目来源</w:t>
            </w:r>
          </w:p>
        </w:tc>
        <w:tc>
          <w:tcPr>
            <w:tcW w:w="1418" w:type="dxa"/>
            <w:vMerge w:val="restart"/>
            <w:tcBorders>
              <w:top w:val="single" w:sz="6" w:space="0" w:color="000000"/>
              <w:left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采购物品名称</w:t>
            </w:r>
          </w:p>
        </w:tc>
        <w:tc>
          <w:tcPr>
            <w:tcW w:w="1559" w:type="dxa"/>
            <w:vMerge w:val="restart"/>
            <w:tcBorders>
              <w:top w:val="single" w:sz="6" w:space="0" w:color="000000"/>
              <w:left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政府采购目录序号</w:t>
            </w:r>
          </w:p>
        </w:tc>
        <w:tc>
          <w:tcPr>
            <w:tcW w:w="527" w:type="dxa"/>
            <w:vMerge w:val="restart"/>
            <w:tcBorders>
              <w:top w:val="single" w:sz="6" w:space="0" w:color="000000"/>
              <w:left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计量单位</w:t>
            </w:r>
          </w:p>
        </w:tc>
        <w:tc>
          <w:tcPr>
            <w:tcW w:w="567" w:type="dxa"/>
            <w:vMerge w:val="restart"/>
            <w:tcBorders>
              <w:top w:val="single" w:sz="6" w:space="0" w:color="000000"/>
              <w:left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数量</w:t>
            </w:r>
          </w:p>
        </w:tc>
        <w:tc>
          <w:tcPr>
            <w:tcW w:w="708" w:type="dxa"/>
            <w:vMerge w:val="restart"/>
            <w:tcBorders>
              <w:top w:val="single" w:sz="6" w:space="0" w:color="000000"/>
              <w:left w:val="single" w:sz="6" w:space="0" w:color="000000"/>
              <w:right w:val="single" w:sz="6" w:space="0" w:color="000000"/>
            </w:tcBorders>
            <w:shd w:val="clear" w:color="auto" w:fill="auto"/>
            <w:vAlign w:val="center"/>
          </w:tcPr>
          <w:p w:rsidR="006B11AD" w:rsidRPr="00BE7FB4" w:rsidRDefault="006B11AD" w:rsidP="00017939">
            <w:pPr>
              <w:spacing w:line="300" w:lineRule="exact"/>
              <w:jc w:val="center"/>
              <w:rPr>
                <w:b/>
                <w:color w:val="000000"/>
                <w:sz w:val="22"/>
              </w:rPr>
            </w:pPr>
            <w:r w:rsidRPr="00BE7FB4">
              <w:rPr>
                <w:rFonts w:hint="eastAsia"/>
                <w:b/>
                <w:color w:val="000000"/>
                <w:sz w:val="22"/>
              </w:rPr>
              <w:t>单</w:t>
            </w:r>
            <w:r w:rsidR="00017939">
              <w:rPr>
                <w:rFonts w:hint="eastAsia"/>
                <w:b/>
                <w:color w:val="000000"/>
                <w:sz w:val="22"/>
              </w:rPr>
              <w:t>价</w:t>
            </w:r>
          </w:p>
        </w:tc>
        <w:tc>
          <w:tcPr>
            <w:tcW w:w="340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rFonts w:ascii="方正书宋_GBK" w:eastAsia="方正书宋_GBK"/>
                <w:b/>
              </w:rPr>
            </w:pPr>
            <w:r w:rsidRPr="00BE7FB4">
              <w:rPr>
                <w:rFonts w:ascii="方正书宋_GBK" w:eastAsia="方正书宋_GBK" w:hint="eastAsia"/>
                <w:b/>
              </w:rPr>
              <w:t>政府采购金额（当年部门预算安排资金）</w:t>
            </w:r>
          </w:p>
        </w:tc>
      </w:tr>
      <w:tr w:rsidR="006D2F1F" w:rsidRPr="000A6F56" w:rsidTr="006D2F1F">
        <w:trPr>
          <w:cantSplit/>
          <w:jc w:val="center"/>
        </w:trPr>
        <w:tc>
          <w:tcPr>
            <w:tcW w:w="12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项目名称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预算资金</w:t>
            </w:r>
          </w:p>
        </w:tc>
        <w:tc>
          <w:tcPr>
            <w:tcW w:w="1418" w:type="dxa"/>
            <w:vMerge/>
            <w:tcBorders>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p>
        </w:tc>
        <w:tc>
          <w:tcPr>
            <w:tcW w:w="1559" w:type="dxa"/>
            <w:vMerge/>
            <w:tcBorders>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p>
        </w:tc>
        <w:tc>
          <w:tcPr>
            <w:tcW w:w="527" w:type="dxa"/>
            <w:vMerge/>
            <w:tcBorders>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p>
        </w:tc>
        <w:tc>
          <w:tcPr>
            <w:tcW w:w="567" w:type="dxa"/>
            <w:vMerge/>
            <w:tcBorders>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p>
        </w:tc>
        <w:tc>
          <w:tcPr>
            <w:tcW w:w="708" w:type="dxa"/>
            <w:vMerge/>
            <w:tcBorders>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合计</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b/>
                <w:color w:val="000000"/>
                <w:sz w:val="22"/>
              </w:rPr>
            </w:pPr>
            <w:r w:rsidRPr="00BE7FB4">
              <w:rPr>
                <w:rFonts w:hint="eastAsia"/>
                <w:b/>
                <w:color w:val="000000"/>
                <w:sz w:val="22"/>
              </w:rPr>
              <w:t>一般公共预算拨款</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rFonts w:ascii="方正书宋_GBK" w:eastAsia="方正书宋_GBK"/>
                <w:b/>
              </w:rPr>
            </w:pPr>
            <w:r w:rsidRPr="00BE7FB4">
              <w:rPr>
                <w:rFonts w:ascii="方正书宋_GBK" w:eastAsia="方正书宋_GBK" w:hint="eastAsia"/>
                <w:b/>
              </w:rPr>
              <w:t>基金预算拨款</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rFonts w:ascii="方正书宋_GBK" w:eastAsia="方正书宋_GBK"/>
                <w:b/>
              </w:rPr>
            </w:pPr>
            <w:r w:rsidRPr="00BE7FB4">
              <w:rPr>
                <w:rFonts w:ascii="方正书宋_GBK" w:eastAsia="方正书宋_GBK" w:hint="eastAsia"/>
                <w:b/>
              </w:rPr>
              <w:t>国有资本经营预算拨款</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rFonts w:ascii="方正书宋_GBK" w:eastAsia="方正书宋_GBK"/>
                <w:b/>
              </w:rPr>
            </w:pPr>
            <w:r w:rsidRPr="00BE7FB4">
              <w:rPr>
                <w:rFonts w:ascii="方正书宋_GBK" w:eastAsia="方正书宋_GBK" w:hint="eastAsia"/>
                <w:b/>
              </w:rPr>
              <w:t>财政专户</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11AD" w:rsidRPr="00BE7FB4" w:rsidRDefault="006B11AD" w:rsidP="006B11AD">
            <w:pPr>
              <w:spacing w:line="300" w:lineRule="exact"/>
              <w:jc w:val="center"/>
              <w:rPr>
                <w:rFonts w:ascii="方正书宋_GBK" w:eastAsia="方正书宋_GBK"/>
                <w:b/>
              </w:rPr>
            </w:pPr>
            <w:r w:rsidRPr="00BE7FB4">
              <w:rPr>
                <w:rFonts w:ascii="方正书宋_GBK" w:eastAsia="方正书宋_GBK" w:hint="eastAsia"/>
                <w:b/>
              </w:rPr>
              <w:t>其他来源收入</w:t>
            </w:r>
          </w:p>
        </w:tc>
      </w:tr>
      <w:tr w:rsidR="006D2F1F" w:rsidRPr="000A6F56" w:rsidTr="006D2F1F">
        <w:trPr>
          <w:cantSplit/>
          <w:jc w:val="center"/>
        </w:trPr>
        <w:tc>
          <w:tcPr>
            <w:tcW w:w="1266"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城乡义务教育经费区级配套</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0.15</w:t>
            </w:r>
          </w:p>
        </w:tc>
        <w:tc>
          <w:tcPr>
            <w:tcW w:w="1418"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激光打印机</w:t>
            </w:r>
          </w:p>
        </w:tc>
        <w:tc>
          <w:tcPr>
            <w:tcW w:w="1559"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 xml:space="preserve"> A0201060102 </w:t>
            </w:r>
          </w:p>
        </w:tc>
        <w:tc>
          <w:tcPr>
            <w:tcW w:w="527" w:type="dxa"/>
            <w:shd w:val="clear" w:color="auto" w:fill="auto"/>
            <w:vAlign w:val="center"/>
          </w:tcPr>
          <w:p w:rsidR="006B11AD" w:rsidRPr="000A6F56" w:rsidRDefault="006B11AD" w:rsidP="00394D91">
            <w:pPr>
              <w:spacing w:line="300" w:lineRule="exact"/>
              <w:jc w:val="center"/>
              <w:rPr>
                <w:rFonts w:ascii="方正书宋_GBK" w:eastAsia="方正书宋_GBK"/>
              </w:rPr>
            </w:pPr>
            <w:r>
              <w:rPr>
                <w:rFonts w:hint="eastAsia"/>
                <w:color w:val="000000"/>
                <w:sz w:val="22"/>
              </w:rPr>
              <w:t>台</w:t>
            </w:r>
          </w:p>
        </w:tc>
        <w:tc>
          <w:tcPr>
            <w:tcW w:w="567"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1</w:t>
            </w:r>
          </w:p>
        </w:tc>
        <w:tc>
          <w:tcPr>
            <w:tcW w:w="708"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0.15</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0.15</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0.15</w:t>
            </w: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r>
      <w:tr w:rsidR="006D2F1F" w:rsidRPr="000A6F56" w:rsidTr="006D2F1F">
        <w:trPr>
          <w:cantSplit/>
          <w:jc w:val="center"/>
        </w:trPr>
        <w:tc>
          <w:tcPr>
            <w:tcW w:w="1266"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城乡义务教育经费区级配套</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0.3</w:t>
            </w:r>
          </w:p>
        </w:tc>
        <w:tc>
          <w:tcPr>
            <w:tcW w:w="1418"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其他柜类</w:t>
            </w:r>
          </w:p>
        </w:tc>
        <w:tc>
          <w:tcPr>
            <w:tcW w:w="1559"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 xml:space="preserve"> A060599 </w:t>
            </w:r>
          </w:p>
        </w:tc>
        <w:tc>
          <w:tcPr>
            <w:tcW w:w="527" w:type="dxa"/>
            <w:shd w:val="clear" w:color="auto" w:fill="auto"/>
            <w:vAlign w:val="center"/>
          </w:tcPr>
          <w:p w:rsidR="006B11AD" w:rsidRPr="000A6F56" w:rsidRDefault="006B11AD" w:rsidP="00394D91">
            <w:pPr>
              <w:spacing w:line="300" w:lineRule="exact"/>
              <w:jc w:val="center"/>
              <w:rPr>
                <w:rFonts w:ascii="方正书宋_GBK" w:eastAsia="方正书宋_GBK"/>
              </w:rPr>
            </w:pPr>
            <w:r>
              <w:rPr>
                <w:rFonts w:hint="eastAsia"/>
                <w:color w:val="000000"/>
                <w:sz w:val="22"/>
              </w:rPr>
              <w:t>批</w:t>
            </w:r>
          </w:p>
        </w:tc>
        <w:tc>
          <w:tcPr>
            <w:tcW w:w="567"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6</w:t>
            </w:r>
          </w:p>
        </w:tc>
        <w:tc>
          <w:tcPr>
            <w:tcW w:w="708"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0.05</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0.3</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0.3</w:t>
            </w: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r>
      <w:tr w:rsidR="006D2F1F" w:rsidRPr="000A6F56" w:rsidTr="006D2F1F">
        <w:trPr>
          <w:cantSplit/>
          <w:jc w:val="center"/>
        </w:trPr>
        <w:tc>
          <w:tcPr>
            <w:tcW w:w="1266"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lastRenderedPageBreak/>
              <w:t>城乡义务教育经费区级配套</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1</w:t>
            </w:r>
          </w:p>
        </w:tc>
        <w:tc>
          <w:tcPr>
            <w:tcW w:w="1418"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移动存储设备</w:t>
            </w:r>
          </w:p>
        </w:tc>
        <w:tc>
          <w:tcPr>
            <w:tcW w:w="1559"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 xml:space="preserve"> A02010508 </w:t>
            </w:r>
          </w:p>
        </w:tc>
        <w:tc>
          <w:tcPr>
            <w:tcW w:w="527" w:type="dxa"/>
            <w:shd w:val="clear" w:color="auto" w:fill="auto"/>
            <w:vAlign w:val="center"/>
          </w:tcPr>
          <w:p w:rsidR="006B11AD" w:rsidRPr="000A6F56" w:rsidRDefault="006B11AD" w:rsidP="00394D91">
            <w:pPr>
              <w:spacing w:line="300" w:lineRule="exact"/>
              <w:jc w:val="center"/>
              <w:rPr>
                <w:rFonts w:ascii="方正书宋_GBK" w:eastAsia="方正书宋_GBK"/>
              </w:rPr>
            </w:pPr>
            <w:proofErr w:type="gramStart"/>
            <w:r>
              <w:rPr>
                <w:rFonts w:hint="eastAsia"/>
                <w:color w:val="000000"/>
                <w:sz w:val="22"/>
              </w:rPr>
              <w:t>个</w:t>
            </w:r>
            <w:proofErr w:type="gramEnd"/>
          </w:p>
        </w:tc>
        <w:tc>
          <w:tcPr>
            <w:tcW w:w="567"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4</w:t>
            </w:r>
          </w:p>
        </w:tc>
        <w:tc>
          <w:tcPr>
            <w:tcW w:w="708"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0.25</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1</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1</w:t>
            </w: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r>
      <w:tr w:rsidR="006D2F1F" w:rsidRPr="000A6F56" w:rsidTr="006D2F1F">
        <w:trPr>
          <w:cantSplit/>
          <w:jc w:val="center"/>
        </w:trPr>
        <w:tc>
          <w:tcPr>
            <w:tcW w:w="1266"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城乡义务教育经费区级配套</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0.26</w:t>
            </w:r>
          </w:p>
        </w:tc>
        <w:tc>
          <w:tcPr>
            <w:tcW w:w="1418"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其他计算机设备及软件</w:t>
            </w:r>
          </w:p>
        </w:tc>
        <w:tc>
          <w:tcPr>
            <w:tcW w:w="1559" w:type="dxa"/>
            <w:shd w:val="clear" w:color="auto" w:fill="auto"/>
            <w:vAlign w:val="center"/>
          </w:tcPr>
          <w:p w:rsidR="006B11AD" w:rsidRPr="000A6F56" w:rsidRDefault="006B11AD" w:rsidP="00394D91">
            <w:pPr>
              <w:spacing w:line="300" w:lineRule="exact"/>
              <w:jc w:val="left"/>
              <w:rPr>
                <w:rFonts w:ascii="方正书宋_GBK" w:eastAsia="方正书宋_GBK"/>
              </w:rPr>
            </w:pPr>
            <w:r>
              <w:rPr>
                <w:rFonts w:hint="eastAsia"/>
                <w:color w:val="000000"/>
                <w:sz w:val="22"/>
              </w:rPr>
              <w:t xml:space="preserve"> A020199 </w:t>
            </w:r>
          </w:p>
        </w:tc>
        <w:tc>
          <w:tcPr>
            <w:tcW w:w="527" w:type="dxa"/>
            <w:shd w:val="clear" w:color="auto" w:fill="auto"/>
            <w:vAlign w:val="center"/>
          </w:tcPr>
          <w:p w:rsidR="006B11AD" w:rsidRPr="000A6F56" w:rsidRDefault="006B11AD" w:rsidP="00394D91">
            <w:pPr>
              <w:spacing w:line="300" w:lineRule="exact"/>
              <w:jc w:val="center"/>
              <w:rPr>
                <w:rFonts w:ascii="方正书宋_GBK" w:eastAsia="方正书宋_GBK"/>
              </w:rPr>
            </w:pPr>
            <w:proofErr w:type="gramStart"/>
            <w:r>
              <w:rPr>
                <w:rFonts w:hint="eastAsia"/>
                <w:color w:val="000000"/>
                <w:sz w:val="22"/>
              </w:rPr>
              <w:t>个</w:t>
            </w:r>
            <w:proofErr w:type="gramEnd"/>
          </w:p>
        </w:tc>
        <w:tc>
          <w:tcPr>
            <w:tcW w:w="567"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1</w:t>
            </w:r>
          </w:p>
        </w:tc>
        <w:tc>
          <w:tcPr>
            <w:tcW w:w="708"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0.26</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0.26</w:t>
            </w: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r>
              <w:rPr>
                <w:rFonts w:hint="eastAsia"/>
                <w:color w:val="000000"/>
                <w:sz w:val="22"/>
              </w:rPr>
              <w:t>0.26</w:t>
            </w: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709"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c>
          <w:tcPr>
            <w:tcW w:w="425" w:type="dxa"/>
            <w:shd w:val="clear" w:color="auto" w:fill="auto"/>
            <w:vAlign w:val="center"/>
          </w:tcPr>
          <w:p w:rsidR="006B11AD" w:rsidRPr="000A6F56" w:rsidRDefault="006B11AD" w:rsidP="00394D91">
            <w:pPr>
              <w:spacing w:line="300" w:lineRule="exact"/>
              <w:jc w:val="right"/>
              <w:rPr>
                <w:rFonts w:ascii="方正书宋_GBK" w:eastAsia="方正书宋_GBK"/>
              </w:rPr>
            </w:pPr>
          </w:p>
        </w:tc>
      </w:tr>
    </w:tbl>
    <w:p w:rsidR="006B11AD" w:rsidRPr="006B11AD" w:rsidRDefault="006B11AD" w:rsidP="006B11AD">
      <w:pPr>
        <w:ind w:firstLine="640"/>
        <w:rPr>
          <w:rFonts w:ascii="黑体" w:eastAsia="黑体" w:hAnsi="黑体" w:cs="Times New Roman"/>
          <w:sz w:val="32"/>
          <w:szCs w:val="32"/>
        </w:rPr>
      </w:pPr>
    </w:p>
    <w:bookmarkEnd w:id="0"/>
    <w:p w:rsidR="00CD358A" w:rsidRPr="00750048" w:rsidRDefault="001D74E8" w:rsidP="001D74E8">
      <w:pPr>
        <w:rPr>
          <w:rFonts w:ascii="黑体" w:eastAsia="黑体" w:hAnsi="黑体" w:cs="Times New Roman"/>
          <w:sz w:val="32"/>
          <w:szCs w:val="32"/>
        </w:rPr>
      </w:pPr>
      <w:r w:rsidRPr="001D74E8">
        <w:rPr>
          <w:rFonts w:ascii="黑体" w:eastAsia="黑体" w:hAnsi="黑体" w:cs="Times New Roman" w:hint="eastAsia"/>
          <w:b/>
          <w:sz w:val="32"/>
          <w:szCs w:val="24"/>
        </w:rPr>
        <w:t>七</w:t>
      </w:r>
      <w:r w:rsidR="00446BF7" w:rsidRPr="00750048">
        <w:rPr>
          <w:rFonts w:ascii="黑体" w:eastAsia="黑体" w:hAnsi="黑体" w:cs="Times New Roman" w:hint="eastAsia"/>
          <w:sz w:val="32"/>
          <w:szCs w:val="32"/>
        </w:rPr>
        <w:t>、国有资产信息</w:t>
      </w:r>
    </w:p>
    <w:p w:rsidR="00470C03" w:rsidRPr="00750048" w:rsidRDefault="00470C03" w:rsidP="00470C03">
      <w:pPr>
        <w:ind w:firstLine="640"/>
        <w:rPr>
          <w:rFonts w:ascii="Times New Roman" w:eastAsia="仿宋" w:hAnsi="Times New Roman" w:cs="Times New Roman"/>
          <w:color w:val="000000"/>
          <w:sz w:val="32"/>
          <w:szCs w:val="32"/>
        </w:rPr>
      </w:pPr>
      <w:r w:rsidRPr="00750048">
        <w:rPr>
          <w:rFonts w:ascii="Times New Roman" w:eastAsia="仿宋" w:hAnsi="Times New Roman" w:cs="Times New Roman" w:hint="eastAsia"/>
          <w:color w:val="000000"/>
          <w:sz w:val="32"/>
          <w:szCs w:val="32"/>
        </w:rPr>
        <w:t>石家庄市</w:t>
      </w:r>
      <w:r w:rsidR="003B62A1">
        <w:rPr>
          <w:rFonts w:ascii="Times New Roman" w:eastAsia="仿宋" w:hAnsi="Times New Roman" w:cs="Times New Roman" w:hint="eastAsia"/>
          <w:color w:val="000000"/>
          <w:sz w:val="32"/>
          <w:szCs w:val="32"/>
        </w:rPr>
        <w:t>第四十中学</w:t>
      </w:r>
      <w:r w:rsidRPr="00750048">
        <w:rPr>
          <w:rFonts w:ascii="Times New Roman" w:eastAsia="仿宋" w:hAnsi="Times New Roman" w:cs="Times New Roman" w:hint="eastAsia"/>
          <w:color w:val="000000"/>
          <w:sz w:val="32"/>
          <w:szCs w:val="32"/>
        </w:rPr>
        <w:t>20</w:t>
      </w:r>
      <w:r>
        <w:rPr>
          <w:rFonts w:ascii="Times New Roman" w:eastAsia="仿宋" w:hAnsi="Times New Roman" w:cs="Times New Roman" w:hint="eastAsia"/>
          <w:color w:val="000000"/>
          <w:sz w:val="32"/>
          <w:szCs w:val="32"/>
        </w:rPr>
        <w:t>20</w:t>
      </w:r>
      <w:r w:rsidRPr="00750048">
        <w:rPr>
          <w:rFonts w:ascii="Times New Roman" w:eastAsia="仿宋" w:hAnsi="Times New Roman" w:cs="Times New Roman"/>
          <w:color w:val="000000"/>
          <w:sz w:val="32"/>
          <w:szCs w:val="32"/>
        </w:rPr>
        <w:t>年末固定资产金额为</w:t>
      </w:r>
      <w:r w:rsidR="00C13FB5">
        <w:rPr>
          <w:rFonts w:ascii="Times New Roman" w:eastAsia="仿宋" w:hAnsi="Times New Roman" w:cs="Times New Roman" w:hint="eastAsia"/>
          <w:color w:val="000000"/>
          <w:sz w:val="32"/>
          <w:szCs w:val="32"/>
        </w:rPr>
        <w:t>3478.69</w:t>
      </w:r>
      <w:r w:rsidRPr="00750048">
        <w:rPr>
          <w:rFonts w:ascii="Times New Roman" w:eastAsia="仿宋" w:hAnsi="Times New Roman" w:cs="Times New Roman"/>
          <w:color w:val="000000"/>
          <w:sz w:val="32"/>
          <w:szCs w:val="32"/>
        </w:rPr>
        <w:t>万元（详见下表），本年度拟购置固定资产</w:t>
      </w:r>
      <w:r w:rsidRPr="00750048">
        <w:rPr>
          <w:rFonts w:ascii="Times New Roman" w:eastAsia="仿宋" w:hAnsi="Times New Roman" w:cs="Times New Roman" w:hint="eastAsia"/>
          <w:color w:val="000000"/>
          <w:sz w:val="32"/>
          <w:szCs w:val="32"/>
        </w:rPr>
        <w:t>总额为</w:t>
      </w:r>
      <w:r w:rsidR="006B11AD">
        <w:rPr>
          <w:rFonts w:ascii="Times New Roman" w:eastAsia="仿宋" w:hAnsi="Times New Roman" w:cs="Times New Roman" w:hint="eastAsia"/>
          <w:color w:val="000000"/>
          <w:sz w:val="32"/>
          <w:szCs w:val="32"/>
        </w:rPr>
        <w:t>1</w:t>
      </w:r>
      <w:r w:rsidR="0099688A">
        <w:rPr>
          <w:rFonts w:ascii="Times New Roman" w:eastAsia="仿宋" w:hAnsi="Times New Roman" w:cs="Times New Roman" w:hint="eastAsia"/>
          <w:color w:val="000000"/>
          <w:sz w:val="32"/>
          <w:szCs w:val="32"/>
        </w:rPr>
        <w:t>.71</w:t>
      </w:r>
      <w:r w:rsidRPr="00750048">
        <w:rPr>
          <w:rFonts w:ascii="Times New Roman" w:eastAsia="仿宋" w:hAnsi="Times New Roman" w:cs="Times New Roman"/>
          <w:color w:val="000000"/>
          <w:sz w:val="32"/>
          <w:szCs w:val="32"/>
        </w:rPr>
        <w:t>万元，主要为打印机、</w:t>
      </w:r>
      <w:r w:rsidR="0099688A">
        <w:rPr>
          <w:rFonts w:ascii="Times New Roman" w:eastAsia="仿宋" w:hAnsi="Times New Roman" w:cs="Times New Roman" w:hint="eastAsia"/>
          <w:color w:val="000000"/>
          <w:sz w:val="32"/>
          <w:szCs w:val="32"/>
        </w:rPr>
        <w:t>硬盘</w:t>
      </w:r>
      <w:r w:rsidRPr="00750048">
        <w:rPr>
          <w:rFonts w:ascii="Times New Roman" w:eastAsia="仿宋" w:hAnsi="Times New Roman" w:cs="Times New Roman"/>
          <w:color w:val="000000"/>
          <w:sz w:val="32"/>
          <w:szCs w:val="32"/>
        </w:rPr>
        <w:t>等，已列入</w:t>
      </w:r>
      <w:r w:rsidR="0099688A">
        <w:rPr>
          <w:rFonts w:ascii="Times New Roman" w:eastAsia="仿宋" w:hAnsi="Times New Roman" w:cs="Times New Roman" w:hint="eastAsia"/>
          <w:color w:val="000000"/>
          <w:sz w:val="32"/>
          <w:szCs w:val="32"/>
        </w:rPr>
        <w:t>教育局城乡义务教育经费项目</w:t>
      </w:r>
      <w:r w:rsidRPr="00750048">
        <w:rPr>
          <w:rFonts w:ascii="Times New Roman" w:eastAsia="仿宋" w:hAnsi="Times New Roman" w:cs="Times New Roman"/>
          <w:color w:val="000000"/>
          <w:sz w:val="32"/>
          <w:szCs w:val="32"/>
        </w:rPr>
        <w:t>政府采购预算</w:t>
      </w:r>
      <w:r w:rsidRPr="00750048">
        <w:rPr>
          <w:rFonts w:ascii="Times New Roman" w:eastAsia="仿宋" w:hAnsi="Times New Roman" w:cs="Times New Roman" w:hint="eastAsia"/>
          <w:color w:val="000000"/>
          <w:sz w:val="32"/>
          <w:szCs w:val="32"/>
        </w:rPr>
        <w:t>。</w:t>
      </w:r>
    </w:p>
    <w:tbl>
      <w:tblPr>
        <w:tblW w:w="8946" w:type="dxa"/>
        <w:tblInd w:w="93" w:type="dxa"/>
        <w:tblLayout w:type="fixed"/>
        <w:tblLook w:val="04A0" w:firstRow="1" w:lastRow="0" w:firstColumn="1" w:lastColumn="0" w:noHBand="0" w:noVBand="1"/>
      </w:tblPr>
      <w:tblGrid>
        <w:gridCol w:w="3134"/>
        <w:gridCol w:w="2693"/>
        <w:gridCol w:w="3119"/>
      </w:tblGrid>
      <w:tr w:rsidR="00470C03" w:rsidRPr="00750048" w:rsidTr="004D6D56">
        <w:trPr>
          <w:trHeight w:val="705"/>
        </w:trPr>
        <w:tc>
          <w:tcPr>
            <w:tcW w:w="8946" w:type="dxa"/>
            <w:gridSpan w:val="3"/>
            <w:tcBorders>
              <w:top w:val="nil"/>
              <w:left w:val="nil"/>
              <w:bottom w:val="nil"/>
              <w:right w:val="nil"/>
            </w:tcBorders>
            <w:vAlign w:val="center"/>
          </w:tcPr>
          <w:p w:rsidR="00470C03" w:rsidRPr="00750048" w:rsidRDefault="00470C03" w:rsidP="006732DE">
            <w:pPr>
              <w:widowControl/>
              <w:jc w:val="center"/>
              <w:rPr>
                <w:rFonts w:ascii="宋体" w:hAnsi="宋体" w:cs="宋体"/>
                <w:b/>
                <w:bCs/>
                <w:kern w:val="0"/>
                <w:sz w:val="32"/>
                <w:szCs w:val="32"/>
              </w:rPr>
            </w:pPr>
            <w:r w:rsidRPr="00750048">
              <w:rPr>
                <w:rFonts w:ascii="宋体" w:hAnsi="宋体" w:cs="宋体" w:hint="eastAsia"/>
                <w:b/>
                <w:bCs/>
                <w:kern w:val="0"/>
                <w:sz w:val="32"/>
                <w:szCs w:val="32"/>
              </w:rPr>
              <w:t>固定资产占用情况表</w:t>
            </w:r>
          </w:p>
        </w:tc>
      </w:tr>
      <w:tr w:rsidR="00470C03" w:rsidRPr="00750048" w:rsidTr="004D6D56">
        <w:trPr>
          <w:trHeight w:val="510"/>
        </w:trPr>
        <w:tc>
          <w:tcPr>
            <w:tcW w:w="5827" w:type="dxa"/>
            <w:gridSpan w:val="2"/>
            <w:tcBorders>
              <w:top w:val="nil"/>
              <w:left w:val="nil"/>
              <w:bottom w:val="nil"/>
              <w:right w:val="nil"/>
            </w:tcBorders>
            <w:vAlign w:val="center"/>
          </w:tcPr>
          <w:p w:rsidR="00470C03" w:rsidRPr="00750048" w:rsidRDefault="00470C03" w:rsidP="004D6D56">
            <w:pPr>
              <w:widowControl/>
              <w:jc w:val="left"/>
              <w:rPr>
                <w:rFonts w:ascii="Times New Roman" w:eastAsia="仿宋" w:hAnsi="Times New Roman" w:cs="Times New Roman"/>
                <w:kern w:val="0"/>
                <w:sz w:val="22"/>
              </w:rPr>
            </w:pPr>
            <w:r w:rsidRPr="00750048">
              <w:rPr>
                <w:rFonts w:ascii="Times New Roman" w:eastAsia="仿宋" w:hAnsi="Times New Roman" w:cs="Times New Roman"/>
                <w:kern w:val="0"/>
                <w:sz w:val="22"/>
              </w:rPr>
              <w:t>编制部门：</w:t>
            </w:r>
            <w:r w:rsidRPr="00750048">
              <w:rPr>
                <w:rFonts w:ascii="Times New Roman" w:eastAsia="仿宋" w:hAnsi="Times New Roman" w:cs="Times New Roman" w:hint="eastAsia"/>
                <w:kern w:val="0"/>
                <w:sz w:val="22"/>
              </w:rPr>
              <w:t>石家庄市</w:t>
            </w:r>
            <w:r w:rsidR="004D6D56">
              <w:rPr>
                <w:rFonts w:ascii="Times New Roman" w:eastAsia="仿宋" w:hAnsi="Times New Roman" w:cs="Times New Roman" w:hint="eastAsia"/>
                <w:kern w:val="0"/>
                <w:sz w:val="22"/>
              </w:rPr>
              <w:t>第四十中学</w:t>
            </w:r>
          </w:p>
        </w:tc>
        <w:tc>
          <w:tcPr>
            <w:tcW w:w="3119" w:type="dxa"/>
            <w:tcBorders>
              <w:top w:val="nil"/>
              <w:left w:val="nil"/>
              <w:bottom w:val="nil"/>
              <w:right w:val="nil"/>
            </w:tcBorders>
            <w:vAlign w:val="center"/>
          </w:tcPr>
          <w:p w:rsidR="00470C03" w:rsidRPr="00750048" w:rsidRDefault="00470C03" w:rsidP="004D6D56">
            <w:pPr>
              <w:widowControl/>
              <w:jc w:val="left"/>
              <w:rPr>
                <w:rFonts w:ascii="Times New Roman" w:eastAsia="仿宋" w:hAnsi="Times New Roman" w:cs="Times New Roman"/>
                <w:kern w:val="0"/>
                <w:sz w:val="22"/>
              </w:rPr>
            </w:pPr>
            <w:r w:rsidRPr="00750048">
              <w:rPr>
                <w:rFonts w:ascii="Times New Roman" w:eastAsia="仿宋" w:hAnsi="Times New Roman" w:cs="Times New Roman"/>
                <w:kern w:val="0"/>
                <w:sz w:val="22"/>
              </w:rPr>
              <w:t>截止时间：</w:t>
            </w:r>
            <w:r w:rsidRPr="00750048">
              <w:rPr>
                <w:rFonts w:ascii="Times New Roman" w:eastAsia="仿宋" w:hAnsi="Times New Roman" w:cs="Times New Roman"/>
                <w:kern w:val="0"/>
                <w:sz w:val="22"/>
              </w:rPr>
              <w:t>20</w:t>
            </w:r>
            <w:r>
              <w:rPr>
                <w:rFonts w:ascii="Times New Roman" w:eastAsia="仿宋" w:hAnsi="Times New Roman" w:cs="Times New Roman" w:hint="eastAsia"/>
                <w:kern w:val="0"/>
                <w:sz w:val="22"/>
              </w:rPr>
              <w:t>20</w:t>
            </w:r>
            <w:r w:rsidRPr="00750048">
              <w:rPr>
                <w:rFonts w:ascii="Times New Roman" w:eastAsia="仿宋" w:hAnsi="Times New Roman" w:cs="Times New Roman"/>
                <w:kern w:val="0"/>
                <w:sz w:val="22"/>
              </w:rPr>
              <w:t>年</w:t>
            </w:r>
            <w:r w:rsidRPr="00750048">
              <w:rPr>
                <w:rFonts w:ascii="Times New Roman" w:eastAsia="仿宋" w:hAnsi="Times New Roman" w:cs="Times New Roman"/>
                <w:kern w:val="0"/>
                <w:sz w:val="22"/>
              </w:rPr>
              <w:t>12</w:t>
            </w:r>
            <w:r w:rsidRPr="00750048">
              <w:rPr>
                <w:rFonts w:ascii="Times New Roman" w:eastAsia="仿宋" w:hAnsi="Times New Roman" w:cs="Times New Roman"/>
                <w:kern w:val="0"/>
                <w:sz w:val="22"/>
              </w:rPr>
              <w:t>月</w:t>
            </w:r>
            <w:r w:rsidRPr="00750048">
              <w:rPr>
                <w:rFonts w:ascii="Times New Roman" w:eastAsia="仿宋" w:hAnsi="Times New Roman" w:cs="Times New Roman"/>
                <w:kern w:val="0"/>
                <w:sz w:val="22"/>
              </w:rPr>
              <w:t>31</w:t>
            </w:r>
            <w:r w:rsidRPr="00750048">
              <w:rPr>
                <w:rFonts w:ascii="Times New Roman" w:eastAsia="仿宋" w:hAnsi="Times New Roman" w:cs="Times New Roman"/>
                <w:kern w:val="0"/>
                <w:sz w:val="22"/>
              </w:rPr>
              <w:t>日</w:t>
            </w:r>
          </w:p>
        </w:tc>
      </w:tr>
      <w:tr w:rsidR="00470C03" w:rsidRPr="00750048" w:rsidTr="004D6D56">
        <w:trPr>
          <w:trHeight w:val="645"/>
        </w:trPr>
        <w:tc>
          <w:tcPr>
            <w:tcW w:w="3134" w:type="dxa"/>
            <w:tcBorders>
              <w:top w:val="single" w:sz="4" w:space="0" w:color="auto"/>
              <w:left w:val="single" w:sz="4" w:space="0" w:color="auto"/>
              <w:bottom w:val="single" w:sz="4" w:space="0" w:color="auto"/>
              <w:right w:val="single" w:sz="4" w:space="0" w:color="auto"/>
            </w:tcBorders>
            <w:vAlign w:val="center"/>
          </w:tcPr>
          <w:p w:rsidR="00470C03" w:rsidRPr="00750048" w:rsidRDefault="00470C03" w:rsidP="006732DE">
            <w:pPr>
              <w:widowControl/>
              <w:jc w:val="center"/>
              <w:rPr>
                <w:rFonts w:ascii="宋体" w:hAnsi="宋体" w:cs="宋体"/>
                <w:b/>
                <w:bCs/>
                <w:kern w:val="0"/>
                <w:sz w:val="22"/>
              </w:rPr>
            </w:pPr>
            <w:r w:rsidRPr="00750048">
              <w:rPr>
                <w:rFonts w:ascii="宋体" w:hAnsi="宋体" w:cs="宋体" w:hint="eastAsia"/>
                <w:b/>
                <w:bCs/>
                <w:kern w:val="0"/>
                <w:sz w:val="22"/>
              </w:rPr>
              <w:t>项目</w:t>
            </w:r>
          </w:p>
        </w:tc>
        <w:tc>
          <w:tcPr>
            <w:tcW w:w="2693" w:type="dxa"/>
            <w:tcBorders>
              <w:top w:val="single" w:sz="4" w:space="0" w:color="auto"/>
              <w:left w:val="nil"/>
              <w:bottom w:val="single" w:sz="4" w:space="0" w:color="auto"/>
              <w:right w:val="single" w:sz="4" w:space="0" w:color="auto"/>
            </w:tcBorders>
            <w:vAlign w:val="center"/>
          </w:tcPr>
          <w:p w:rsidR="00470C03" w:rsidRPr="00750048" w:rsidRDefault="00470C03" w:rsidP="006732DE">
            <w:pPr>
              <w:widowControl/>
              <w:jc w:val="center"/>
              <w:rPr>
                <w:rFonts w:ascii="宋体" w:hAnsi="宋体" w:cs="宋体"/>
                <w:b/>
                <w:bCs/>
                <w:kern w:val="0"/>
                <w:sz w:val="22"/>
              </w:rPr>
            </w:pPr>
            <w:r w:rsidRPr="00750048">
              <w:rPr>
                <w:rFonts w:ascii="宋体" w:hAnsi="宋体" w:cs="宋体" w:hint="eastAsia"/>
                <w:b/>
                <w:bCs/>
                <w:kern w:val="0"/>
                <w:sz w:val="22"/>
              </w:rPr>
              <w:t>数量</w:t>
            </w:r>
          </w:p>
        </w:tc>
        <w:tc>
          <w:tcPr>
            <w:tcW w:w="3119" w:type="dxa"/>
            <w:tcBorders>
              <w:top w:val="single" w:sz="4" w:space="0" w:color="auto"/>
              <w:left w:val="nil"/>
              <w:bottom w:val="single" w:sz="4" w:space="0" w:color="auto"/>
              <w:right w:val="single" w:sz="4" w:space="0" w:color="auto"/>
            </w:tcBorders>
            <w:vAlign w:val="center"/>
          </w:tcPr>
          <w:p w:rsidR="00470C03" w:rsidRPr="00750048" w:rsidRDefault="00470C03" w:rsidP="006732DE">
            <w:pPr>
              <w:widowControl/>
              <w:jc w:val="center"/>
              <w:rPr>
                <w:rFonts w:ascii="宋体" w:hAnsi="宋体" w:cs="宋体"/>
                <w:b/>
                <w:bCs/>
                <w:kern w:val="0"/>
                <w:sz w:val="22"/>
              </w:rPr>
            </w:pPr>
            <w:r w:rsidRPr="00750048">
              <w:rPr>
                <w:rFonts w:ascii="宋体" w:hAnsi="宋体" w:cs="宋体" w:hint="eastAsia"/>
                <w:b/>
                <w:bCs/>
                <w:kern w:val="0"/>
                <w:sz w:val="22"/>
              </w:rPr>
              <w:t>价值（金额单位：万元）</w:t>
            </w:r>
          </w:p>
        </w:tc>
      </w:tr>
      <w:tr w:rsidR="00470C03" w:rsidRPr="00750048" w:rsidTr="004D6D56">
        <w:trPr>
          <w:trHeight w:val="645"/>
        </w:trPr>
        <w:tc>
          <w:tcPr>
            <w:tcW w:w="3134" w:type="dxa"/>
            <w:tcBorders>
              <w:top w:val="nil"/>
              <w:left w:val="single" w:sz="4" w:space="0" w:color="auto"/>
              <w:bottom w:val="single" w:sz="4" w:space="0" w:color="auto"/>
              <w:right w:val="single" w:sz="4" w:space="0" w:color="auto"/>
            </w:tcBorders>
            <w:vAlign w:val="center"/>
          </w:tcPr>
          <w:p w:rsidR="00470C03" w:rsidRPr="00750048" w:rsidRDefault="00470C03" w:rsidP="006732DE">
            <w:pPr>
              <w:widowControl/>
              <w:jc w:val="center"/>
              <w:rPr>
                <w:rFonts w:ascii="Times New Roman" w:eastAsia="仿宋" w:hAnsi="Times New Roman" w:cs="Times New Roman"/>
                <w:kern w:val="0"/>
                <w:sz w:val="22"/>
              </w:rPr>
            </w:pPr>
            <w:r w:rsidRPr="00750048">
              <w:rPr>
                <w:rFonts w:ascii="Times New Roman" w:eastAsia="仿宋" w:hAnsi="Times New Roman" w:cs="Times New Roman"/>
                <w:kern w:val="0"/>
                <w:sz w:val="22"/>
              </w:rPr>
              <w:t>资产总额</w:t>
            </w:r>
          </w:p>
        </w:tc>
        <w:tc>
          <w:tcPr>
            <w:tcW w:w="2693" w:type="dxa"/>
            <w:tcBorders>
              <w:top w:val="nil"/>
              <w:left w:val="nil"/>
              <w:bottom w:val="single" w:sz="4" w:space="0" w:color="auto"/>
              <w:right w:val="single" w:sz="4" w:space="0" w:color="auto"/>
            </w:tcBorders>
            <w:vAlign w:val="center"/>
          </w:tcPr>
          <w:p w:rsidR="00470C03" w:rsidRPr="00750048" w:rsidRDefault="00470C03" w:rsidP="006732DE">
            <w:pPr>
              <w:widowControl/>
              <w:jc w:val="center"/>
              <w:rPr>
                <w:rFonts w:ascii="Times New Roman" w:eastAsia="仿宋" w:hAnsi="Times New Roman" w:cs="Times New Roman"/>
                <w:kern w:val="0"/>
                <w:sz w:val="22"/>
              </w:rPr>
            </w:pPr>
            <w:r w:rsidRPr="00750048">
              <w:rPr>
                <w:rFonts w:ascii="Times New Roman" w:eastAsia="仿宋" w:hAnsi="Times New Roman" w:cs="Times New Roman"/>
                <w:kern w:val="0"/>
                <w:sz w:val="22"/>
              </w:rPr>
              <w:t>——</w:t>
            </w:r>
          </w:p>
        </w:tc>
        <w:tc>
          <w:tcPr>
            <w:tcW w:w="3119" w:type="dxa"/>
            <w:tcBorders>
              <w:top w:val="nil"/>
              <w:left w:val="nil"/>
              <w:bottom w:val="single" w:sz="4" w:space="0" w:color="auto"/>
              <w:right w:val="single" w:sz="4" w:space="0" w:color="auto"/>
            </w:tcBorders>
            <w:vAlign w:val="center"/>
          </w:tcPr>
          <w:p w:rsidR="00470C03" w:rsidRPr="00C13FB5" w:rsidRDefault="00C13FB5" w:rsidP="00C13FB5">
            <w:pPr>
              <w:widowControl/>
              <w:jc w:val="center"/>
              <w:rPr>
                <w:rFonts w:ascii="Times New Roman" w:eastAsia="仿宋" w:hAnsi="Times New Roman" w:cs="Times New Roman"/>
                <w:color w:val="000000" w:themeColor="text1"/>
                <w:kern w:val="0"/>
                <w:sz w:val="22"/>
              </w:rPr>
            </w:pPr>
            <w:r w:rsidRPr="00C13FB5">
              <w:rPr>
                <w:rFonts w:ascii="Times New Roman" w:eastAsia="仿宋" w:hAnsi="Times New Roman" w:cs="Times New Roman" w:hint="eastAsia"/>
                <w:color w:val="000000" w:themeColor="text1"/>
                <w:kern w:val="0"/>
                <w:sz w:val="22"/>
              </w:rPr>
              <w:t>3478</w:t>
            </w:r>
            <w:r>
              <w:rPr>
                <w:rFonts w:ascii="Times New Roman" w:eastAsia="仿宋" w:hAnsi="Times New Roman" w:cs="Times New Roman" w:hint="eastAsia"/>
                <w:color w:val="000000" w:themeColor="text1"/>
                <w:kern w:val="0"/>
                <w:sz w:val="22"/>
              </w:rPr>
              <w:t>.</w:t>
            </w:r>
            <w:r w:rsidRPr="00C13FB5">
              <w:rPr>
                <w:rFonts w:ascii="Times New Roman" w:eastAsia="仿宋" w:hAnsi="Times New Roman" w:cs="Times New Roman" w:hint="eastAsia"/>
                <w:color w:val="000000" w:themeColor="text1"/>
                <w:kern w:val="0"/>
                <w:sz w:val="22"/>
              </w:rPr>
              <w:t>6</w:t>
            </w:r>
            <w:r>
              <w:rPr>
                <w:rFonts w:ascii="Times New Roman" w:eastAsia="仿宋" w:hAnsi="Times New Roman" w:cs="Times New Roman" w:hint="eastAsia"/>
                <w:color w:val="000000" w:themeColor="text1"/>
                <w:kern w:val="0"/>
                <w:sz w:val="22"/>
              </w:rPr>
              <w:t>9</w:t>
            </w:r>
          </w:p>
        </w:tc>
      </w:tr>
      <w:tr w:rsidR="00470C03" w:rsidRPr="00750048" w:rsidTr="003813D0">
        <w:trPr>
          <w:trHeight w:val="482"/>
        </w:trPr>
        <w:tc>
          <w:tcPr>
            <w:tcW w:w="3134" w:type="dxa"/>
            <w:tcBorders>
              <w:top w:val="nil"/>
              <w:left w:val="single" w:sz="4" w:space="0" w:color="auto"/>
              <w:bottom w:val="single" w:sz="4" w:space="0" w:color="auto"/>
              <w:right w:val="single" w:sz="4" w:space="0" w:color="auto"/>
            </w:tcBorders>
            <w:vAlign w:val="center"/>
          </w:tcPr>
          <w:p w:rsidR="00470C03" w:rsidRPr="006D2F1F" w:rsidRDefault="00470C03" w:rsidP="006732DE">
            <w:pPr>
              <w:widowControl/>
              <w:jc w:val="left"/>
              <w:rPr>
                <w:rFonts w:ascii="Times New Roman" w:eastAsia="仿宋" w:hAnsi="Times New Roman" w:cs="Times New Roman"/>
                <w:kern w:val="0"/>
                <w:sz w:val="22"/>
              </w:rPr>
            </w:pPr>
            <w:r w:rsidRPr="006D2F1F">
              <w:rPr>
                <w:rFonts w:ascii="Times New Roman" w:eastAsia="仿宋" w:hAnsi="Times New Roman" w:cs="Times New Roman"/>
                <w:kern w:val="0"/>
                <w:sz w:val="22"/>
              </w:rPr>
              <w:t>1</w:t>
            </w:r>
            <w:r w:rsidRPr="006D2F1F">
              <w:rPr>
                <w:rFonts w:ascii="Times New Roman" w:eastAsia="仿宋" w:hAnsi="Times New Roman" w:cs="Times New Roman"/>
                <w:kern w:val="0"/>
                <w:sz w:val="22"/>
              </w:rPr>
              <w:t>、房屋（平方米）</w:t>
            </w:r>
          </w:p>
        </w:tc>
        <w:tc>
          <w:tcPr>
            <w:tcW w:w="2693" w:type="dxa"/>
            <w:tcBorders>
              <w:top w:val="nil"/>
              <w:left w:val="nil"/>
              <w:bottom w:val="single" w:sz="4" w:space="0" w:color="auto"/>
              <w:right w:val="single" w:sz="4" w:space="0" w:color="auto"/>
            </w:tcBorders>
            <w:vAlign w:val="center"/>
          </w:tcPr>
          <w:p w:rsidR="00470C03" w:rsidRPr="006D2F1F" w:rsidRDefault="006D2F1F" w:rsidP="006732DE">
            <w:pPr>
              <w:widowControl/>
              <w:jc w:val="center"/>
              <w:rPr>
                <w:rFonts w:ascii="Times New Roman" w:eastAsia="仿宋" w:hAnsi="Times New Roman" w:cs="Times New Roman"/>
                <w:kern w:val="0"/>
                <w:sz w:val="22"/>
              </w:rPr>
            </w:pPr>
            <w:r w:rsidRPr="006D2F1F">
              <w:rPr>
                <w:rFonts w:ascii="Times New Roman" w:eastAsia="仿宋" w:hAnsi="Times New Roman" w:cs="Times New Roman" w:hint="eastAsia"/>
                <w:kern w:val="0"/>
                <w:sz w:val="22"/>
              </w:rPr>
              <w:t>13979.17</w:t>
            </w:r>
          </w:p>
        </w:tc>
        <w:tc>
          <w:tcPr>
            <w:tcW w:w="3119" w:type="dxa"/>
            <w:tcBorders>
              <w:top w:val="nil"/>
              <w:left w:val="nil"/>
              <w:bottom w:val="single" w:sz="4" w:space="0" w:color="auto"/>
              <w:right w:val="single" w:sz="4" w:space="0" w:color="auto"/>
            </w:tcBorders>
            <w:vAlign w:val="center"/>
          </w:tcPr>
          <w:p w:rsidR="00470C03" w:rsidRPr="006D2F1F" w:rsidRDefault="00C13FB5" w:rsidP="006732DE">
            <w:pPr>
              <w:widowControl/>
              <w:jc w:val="center"/>
              <w:rPr>
                <w:rFonts w:ascii="Times New Roman" w:eastAsia="仿宋" w:hAnsi="Times New Roman" w:cs="Times New Roman"/>
                <w:kern w:val="0"/>
                <w:sz w:val="22"/>
              </w:rPr>
            </w:pPr>
            <w:r w:rsidRPr="006D2F1F">
              <w:rPr>
                <w:rFonts w:ascii="Times New Roman" w:eastAsia="仿宋" w:hAnsi="Times New Roman" w:cs="Times New Roman" w:hint="eastAsia"/>
                <w:kern w:val="0"/>
                <w:sz w:val="22"/>
              </w:rPr>
              <w:t>1733.76</w:t>
            </w:r>
          </w:p>
        </w:tc>
      </w:tr>
      <w:tr w:rsidR="00366ED9" w:rsidRPr="00750048" w:rsidTr="004D6D56">
        <w:trPr>
          <w:trHeight w:val="645"/>
        </w:trPr>
        <w:tc>
          <w:tcPr>
            <w:tcW w:w="3134" w:type="dxa"/>
            <w:tcBorders>
              <w:top w:val="nil"/>
              <w:left w:val="single" w:sz="4" w:space="0" w:color="auto"/>
              <w:bottom w:val="single" w:sz="4" w:space="0" w:color="auto"/>
              <w:right w:val="single" w:sz="4" w:space="0" w:color="auto"/>
            </w:tcBorders>
            <w:vAlign w:val="center"/>
          </w:tcPr>
          <w:p w:rsidR="00366ED9" w:rsidRPr="006D2F1F" w:rsidRDefault="00366ED9" w:rsidP="006732DE">
            <w:pPr>
              <w:widowControl/>
              <w:jc w:val="left"/>
              <w:rPr>
                <w:rFonts w:ascii="Times New Roman" w:eastAsia="仿宋" w:hAnsi="Times New Roman" w:cs="Times New Roman"/>
                <w:kern w:val="0"/>
                <w:sz w:val="22"/>
              </w:rPr>
            </w:pPr>
            <w:r w:rsidRPr="006D2F1F">
              <w:rPr>
                <w:rFonts w:ascii="Times New Roman" w:eastAsia="仿宋" w:hAnsi="Times New Roman" w:cs="Times New Roman"/>
                <w:kern w:val="0"/>
                <w:sz w:val="22"/>
              </w:rPr>
              <w:t>其中：办公用房（平方米）</w:t>
            </w:r>
          </w:p>
        </w:tc>
        <w:tc>
          <w:tcPr>
            <w:tcW w:w="2693" w:type="dxa"/>
            <w:tcBorders>
              <w:top w:val="nil"/>
              <w:left w:val="nil"/>
              <w:bottom w:val="single" w:sz="4" w:space="0" w:color="auto"/>
              <w:right w:val="single" w:sz="4" w:space="0" w:color="auto"/>
            </w:tcBorders>
            <w:vAlign w:val="center"/>
          </w:tcPr>
          <w:p w:rsidR="00366ED9" w:rsidRPr="006D2F1F" w:rsidRDefault="006D2F1F" w:rsidP="006732DE">
            <w:pPr>
              <w:widowControl/>
              <w:jc w:val="center"/>
              <w:rPr>
                <w:rFonts w:ascii="Times New Roman" w:eastAsia="仿宋" w:hAnsi="Times New Roman" w:cs="Times New Roman"/>
                <w:kern w:val="0"/>
                <w:sz w:val="22"/>
              </w:rPr>
            </w:pPr>
            <w:r w:rsidRPr="006D2F1F">
              <w:rPr>
                <w:rFonts w:ascii="Times New Roman" w:eastAsia="仿宋" w:hAnsi="Times New Roman" w:cs="Times New Roman" w:hint="eastAsia"/>
                <w:kern w:val="0"/>
                <w:sz w:val="22"/>
              </w:rPr>
              <w:t>7343.28</w:t>
            </w:r>
          </w:p>
        </w:tc>
        <w:tc>
          <w:tcPr>
            <w:tcW w:w="3119" w:type="dxa"/>
            <w:tcBorders>
              <w:top w:val="nil"/>
              <w:left w:val="nil"/>
              <w:bottom w:val="single" w:sz="4" w:space="0" w:color="auto"/>
              <w:right w:val="single" w:sz="4" w:space="0" w:color="auto"/>
            </w:tcBorders>
            <w:vAlign w:val="center"/>
          </w:tcPr>
          <w:p w:rsidR="00366ED9" w:rsidRPr="006D2F1F" w:rsidRDefault="006D2F1F" w:rsidP="006732DE">
            <w:pPr>
              <w:widowControl/>
              <w:jc w:val="center"/>
              <w:rPr>
                <w:rFonts w:ascii="Times New Roman" w:eastAsia="仿宋" w:hAnsi="Times New Roman" w:cs="Times New Roman"/>
                <w:kern w:val="0"/>
                <w:sz w:val="22"/>
              </w:rPr>
            </w:pPr>
            <w:r w:rsidRPr="006D2F1F">
              <w:rPr>
                <w:rFonts w:ascii="Times New Roman" w:eastAsia="仿宋" w:hAnsi="Times New Roman" w:cs="Times New Roman" w:hint="eastAsia"/>
                <w:kern w:val="0"/>
                <w:sz w:val="22"/>
              </w:rPr>
              <w:t>1142.08</w:t>
            </w:r>
          </w:p>
        </w:tc>
      </w:tr>
      <w:tr w:rsidR="00366ED9" w:rsidRPr="00750048" w:rsidTr="004D6D56">
        <w:trPr>
          <w:trHeight w:val="645"/>
        </w:trPr>
        <w:tc>
          <w:tcPr>
            <w:tcW w:w="3134" w:type="dxa"/>
            <w:tcBorders>
              <w:top w:val="nil"/>
              <w:left w:val="single" w:sz="4" w:space="0" w:color="auto"/>
              <w:bottom w:val="single" w:sz="4" w:space="0" w:color="auto"/>
              <w:right w:val="single" w:sz="4" w:space="0" w:color="auto"/>
            </w:tcBorders>
            <w:vAlign w:val="center"/>
          </w:tcPr>
          <w:p w:rsidR="00366ED9" w:rsidRPr="00750048" w:rsidRDefault="00366ED9" w:rsidP="006732DE">
            <w:pPr>
              <w:widowControl/>
              <w:jc w:val="left"/>
              <w:rPr>
                <w:rFonts w:ascii="Times New Roman" w:eastAsia="仿宋" w:hAnsi="Times New Roman" w:cs="Times New Roman"/>
                <w:kern w:val="0"/>
                <w:sz w:val="22"/>
              </w:rPr>
            </w:pPr>
            <w:r w:rsidRPr="00750048">
              <w:rPr>
                <w:rFonts w:ascii="Times New Roman" w:eastAsia="仿宋" w:hAnsi="Times New Roman" w:cs="Times New Roman"/>
                <w:kern w:val="0"/>
                <w:sz w:val="22"/>
              </w:rPr>
              <w:t>2</w:t>
            </w:r>
            <w:r w:rsidRPr="00750048">
              <w:rPr>
                <w:rFonts w:ascii="Times New Roman" w:eastAsia="仿宋" w:hAnsi="Times New Roman" w:cs="Times New Roman"/>
                <w:kern w:val="0"/>
                <w:sz w:val="22"/>
              </w:rPr>
              <w:t>、车辆（台、辆）</w:t>
            </w:r>
          </w:p>
        </w:tc>
        <w:tc>
          <w:tcPr>
            <w:tcW w:w="2693" w:type="dxa"/>
            <w:tcBorders>
              <w:top w:val="nil"/>
              <w:left w:val="nil"/>
              <w:bottom w:val="single" w:sz="4" w:space="0" w:color="auto"/>
              <w:right w:val="single" w:sz="4" w:space="0" w:color="auto"/>
            </w:tcBorders>
            <w:vAlign w:val="center"/>
          </w:tcPr>
          <w:p w:rsidR="00366ED9" w:rsidRPr="00750048" w:rsidRDefault="00C13FB5" w:rsidP="006732DE">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w:t>
            </w:r>
          </w:p>
        </w:tc>
        <w:tc>
          <w:tcPr>
            <w:tcW w:w="3119" w:type="dxa"/>
            <w:tcBorders>
              <w:top w:val="nil"/>
              <w:left w:val="nil"/>
              <w:bottom w:val="single" w:sz="4" w:space="0" w:color="auto"/>
              <w:right w:val="single" w:sz="4" w:space="0" w:color="auto"/>
            </w:tcBorders>
            <w:vAlign w:val="center"/>
          </w:tcPr>
          <w:p w:rsidR="00366ED9" w:rsidRPr="00750048" w:rsidRDefault="00C13FB5" w:rsidP="006732DE">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25.4</w:t>
            </w:r>
          </w:p>
        </w:tc>
      </w:tr>
      <w:tr w:rsidR="00366ED9" w:rsidRPr="00750048" w:rsidTr="004D6D56">
        <w:trPr>
          <w:trHeight w:val="645"/>
        </w:trPr>
        <w:tc>
          <w:tcPr>
            <w:tcW w:w="3134" w:type="dxa"/>
            <w:tcBorders>
              <w:top w:val="nil"/>
              <w:left w:val="single" w:sz="4" w:space="0" w:color="auto"/>
              <w:bottom w:val="single" w:sz="4" w:space="0" w:color="auto"/>
              <w:right w:val="single" w:sz="4" w:space="0" w:color="auto"/>
            </w:tcBorders>
            <w:vAlign w:val="center"/>
          </w:tcPr>
          <w:p w:rsidR="00366ED9" w:rsidRPr="00750048" w:rsidRDefault="00366ED9" w:rsidP="006732DE">
            <w:pPr>
              <w:widowControl/>
              <w:jc w:val="left"/>
              <w:rPr>
                <w:rFonts w:ascii="Times New Roman" w:eastAsia="仿宋" w:hAnsi="Times New Roman" w:cs="Times New Roman"/>
                <w:kern w:val="0"/>
                <w:sz w:val="22"/>
              </w:rPr>
            </w:pPr>
            <w:r w:rsidRPr="00750048">
              <w:rPr>
                <w:rFonts w:ascii="Times New Roman" w:eastAsia="仿宋" w:hAnsi="Times New Roman" w:cs="Times New Roman"/>
                <w:kern w:val="0"/>
                <w:sz w:val="22"/>
              </w:rPr>
              <w:t>3</w:t>
            </w:r>
            <w:r w:rsidRPr="00750048">
              <w:rPr>
                <w:rFonts w:ascii="Times New Roman" w:eastAsia="仿宋" w:hAnsi="Times New Roman" w:cs="Times New Roman"/>
                <w:kern w:val="0"/>
                <w:sz w:val="22"/>
              </w:rPr>
              <w:t>、单价在</w:t>
            </w:r>
            <w:r w:rsidRPr="00750048">
              <w:rPr>
                <w:rFonts w:ascii="Times New Roman" w:eastAsia="仿宋" w:hAnsi="Times New Roman" w:cs="Times New Roman"/>
                <w:kern w:val="0"/>
                <w:sz w:val="22"/>
              </w:rPr>
              <w:t>20</w:t>
            </w:r>
            <w:r w:rsidRPr="00750048">
              <w:rPr>
                <w:rFonts w:ascii="Times New Roman" w:eastAsia="仿宋" w:hAnsi="Times New Roman" w:cs="Times New Roman"/>
                <w:kern w:val="0"/>
                <w:sz w:val="22"/>
              </w:rPr>
              <w:t>万元以上设备</w:t>
            </w:r>
          </w:p>
        </w:tc>
        <w:tc>
          <w:tcPr>
            <w:tcW w:w="2693" w:type="dxa"/>
            <w:tcBorders>
              <w:top w:val="nil"/>
              <w:left w:val="nil"/>
              <w:bottom w:val="single" w:sz="4" w:space="0" w:color="auto"/>
              <w:right w:val="single" w:sz="4" w:space="0" w:color="auto"/>
            </w:tcBorders>
            <w:vAlign w:val="center"/>
          </w:tcPr>
          <w:p w:rsidR="00366ED9" w:rsidRPr="00750048" w:rsidRDefault="00366ED9" w:rsidP="006732DE">
            <w:pPr>
              <w:widowControl/>
              <w:jc w:val="center"/>
              <w:rPr>
                <w:rFonts w:ascii="Times New Roman" w:eastAsia="仿宋" w:hAnsi="Times New Roman" w:cs="Times New Roman"/>
                <w:kern w:val="0"/>
                <w:sz w:val="22"/>
              </w:rPr>
            </w:pPr>
            <w:bookmarkStart w:id="5" w:name="_GoBack"/>
            <w:bookmarkEnd w:id="5"/>
            <w:r w:rsidRPr="00750048">
              <w:rPr>
                <w:rFonts w:ascii="Times New Roman" w:eastAsia="仿宋" w:hAnsi="Times New Roman" w:cs="Times New Roman"/>
                <w:kern w:val="0"/>
                <w:sz w:val="22"/>
              </w:rPr>
              <w:t>——</w:t>
            </w:r>
          </w:p>
        </w:tc>
        <w:tc>
          <w:tcPr>
            <w:tcW w:w="3119" w:type="dxa"/>
            <w:tcBorders>
              <w:top w:val="nil"/>
              <w:left w:val="nil"/>
              <w:bottom w:val="single" w:sz="4" w:space="0" w:color="auto"/>
              <w:right w:val="single" w:sz="4" w:space="0" w:color="auto"/>
            </w:tcBorders>
            <w:vAlign w:val="center"/>
          </w:tcPr>
          <w:p w:rsidR="00366ED9" w:rsidRPr="00750048" w:rsidRDefault="00C13FB5" w:rsidP="006732DE">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r>
      <w:tr w:rsidR="00366ED9" w:rsidTr="004D6D56">
        <w:trPr>
          <w:trHeight w:val="645"/>
        </w:trPr>
        <w:tc>
          <w:tcPr>
            <w:tcW w:w="3134" w:type="dxa"/>
            <w:tcBorders>
              <w:top w:val="nil"/>
              <w:left w:val="single" w:sz="4" w:space="0" w:color="auto"/>
              <w:bottom w:val="single" w:sz="4" w:space="0" w:color="auto"/>
              <w:right w:val="single" w:sz="4" w:space="0" w:color="auto"/>
            </w:tcBorders>
            <w:vAlign w:val="center"/>
          </w:tcPr>
          <w:p w:rsidR="00366ED9" w:rsidRPr="00750048" w:rsidRDefault="00366ED9" w:rsidP="006732DE">
            <w:pPr>
              <w:widowControl/>
              <w:jc w:val="left"/>
              <w:rPr>
                <w:rFonts w:ascii="Times New Roman" w:eastAsia="仿宋" w:hAnsi="Times New Roman" w:cs="Times New Roman"/>
                <w:kern w:val="0"/>
                <w:sz w:val="22"/>
              </w:rPr>
            </w:pPr>
            <w:r w:rsidRPr="00750048">
              <w:rPr>
                <w:rFonts w:ascii="Times New Roman" w:eastAsia="仿宋" w:hAnsi="Times New Roman" w:cs="Times New Roman"/>
                <w:kern w:val="0"/>
                <w:sz w:val="22"/>
              </w:rPr>
              <w:t>4</w:t>
            </w:r>
            <w:r w:rsidRPr="00750048">
              <w:rPr>
                <w:rFonts w:ascii="Times New Roman" w:eastAsia="仿宋" w:hAnsi="Times New Roman" w:cs="Times New Roman"/>
                <w:kern w:val="0"/>
                <w:sz w:val="22"/>
              </w:rPr>
              <w:t>、其他固定资产</w:t>
            </w:r>
          </w:p>
        </w:tc>
        <w:tc>
          <w:tcPr>
            <w:tcW w:w="2693" w:type="dxa"/>
            <w:tcBorders>
              <w:top w:val="nil"/>
              <w:left w:val="nil"/>
              <w:bottom w:val="single" w:sz="4" w:space="0" w:color="auto"/>
              <w:right w:val="single" w:sz="4" w:space="0" w:color="auto"/>
            </w:tcBorders>
            <w:vAlign w:val="center"/>
          </w:tcPr>
          <w:p w:rsidR="00366ED9" w:rsidRPr="00750048" w:rsidRDefault="00366ED9" w:rsidP="006732DE">
            <w:pPr>
              <w:widowControl/>
              <w:jc w:val="center"/>
              <w:rPr>
                <w:rFonts w:ascii="Times New Roman" w:eastAsia="仿宋" w:hAnsi="Times New Roman" w:cs="Times New Roman"/>
                <w:kern w:val="0"/>
                <w:sz w:val="22"/>
              </w:rPr>
            </w:pPr>
            <w:r w:rsidRPr="00750048">
              <w:rPr>
                <w:rFonts w:ascii="Times New Roman" w:eastAsia="仿宋" w:hAnsi="Times New Roman" w:cs="Times New Roman"/>
                <w:kern w:val="0"/>
                <w:sz w:val="22"/>
              </w:rPr>
              <w:t>——</w:t>
            </w:r>
          </w:p>
        </w:tc>
        <w:tc>
          <w:tcPr>
            <w:tcW w:w="3119" w:type="dxa"/>
            <w:tcBorders>
              <w:top w:val="nil"/>
              <w:left w:val="nil"/>
              <w:bottom w:val="single" w:sz="4" w:space="0" w:color="auto"/>
              <w:right w:val="single" w:sz="4" w:space="0" w:color="auto"/>
            </w:tcBorders>
            <w:vAlign w:val="center"/>
          </w:tcPr>
          <w:p w:rsidR="00366ED9" w:rsidRDefault="00C13FB5" w:rsidP="006732DE">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1719.53</w:t>
            </w:r>
          </w:p>
        </w:tc>
      </w:tr>
    </w:tbl>
    <w:p w:rsidR="00CD358A" w:rsidRDefault="00446BF7" w:rsidP="00750048">
      <w:pPr>
        <w:pStyle w:val="1"/>
        <w:rPr>
          <w:rFonts w:ascii="黑体" w:eastAsia="黑体" w:hAnsi="黑体" w:cs="Times New Roman"/>
          <w:sz w:val="32"/>
          <w:szCs w:val="32"/>
        </w:rPr>
      </w:pPr>
      <w:r>
        <w:rPr>
          <w:rFonts w:ascii="黑体" w:eastAsia="黑体" w:hAnsi="黑体" w:cs="Times New Roman" w:hint="eastAsia"/>
          <w:sz w:val="32"/>
          <w:szCs w:val="32"/>
        </w:rPr>
        <w:t>八、名词解释</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、一般公共预算拨款收入：指</w:t>
      </w:r>
      <w:r w:rsidR="000A4452">
        <w:rPr>
          <w:rFonts w:ascii="Times New Roman" w:eastAsia="仿宋" w:hAnsi="Times New Roman" w:cs="Times New Roman" w:hint="eastAsia"/>
          <w:sz w:val="32"/>
          <w:szCs w:val="32"/>
        </w:rPr>
        <w:t>区</w:t>
      </w:r>
      <w:r>
        <w:rPr>
          <w:rFonts w:ascii="Times New Roman" w:eastAsia="仿宋" w:hAnsi="Times New Roman" w:cs="Times New Roman" w:hint="eastAsia"/>
          <w:sz w:val="32"/>
          <w:szCs w:val="32"/>
        </w:rPr>
        <w:t>级财政当年拨付的资金。</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2</w:t>
      </w:r>
      <w:r>
        <w:rPr>
          <w:rFonts w:ascii="Times New Roman" w:eastAsia="仿宋" w:hAnsi="Times New Roman" w:cs="Times New Roman" w:hint="eastAsia"/>
          <w:sz w:val="32"/>
          <w:szCs w:val="32"/>
        </w:rPr>
        <w:t>、事业收入：指事业单位开展专业业务活动及辅助活动所取得的收入。</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、其他收入：指除“一般公共预算拨款收入”、“事业收入”等以外的收入。主要是按规定动用的租房收入、存款利息收入等。</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、基本支出：指为保障机构正常运转、完成日常工作任务而发生的人员支出和公用支出。</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、项目支出：指在基本支出之外为完成特定行政任务和事业发展目标所发生的支出。</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、上缴上级支出：指下级单位上缴上级的支出。</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、“三公”经费：纳入</w:t>
      </w:r>
      <w:r w:rsidR="000A4452">
        <w:rPr>
          <w:rFonts w:ascii="Times New Roman" w:eastAsia="仿宋" w:hAnsi="Times New Roman" w:cs="Times New Roman" w:hint="eastAsia"/>
          <w:sz w:val="32"/>
          <w:szCs w:val="32"/>
        </w:rPr>
        <w:t>区</w:t>
      </w:r>
      <w:r>
        <w:rPr>
          <w:rFonts w:ascii="Times New Roman" w:eastAsia="仿宋" w:hAnsi="Times New Roman" w:cs="Times New Roman" w:hint="eastAsia"/>
          <w:sz w:val="32"/>
          <w:szCs w:val="32"/>
        </w:rPr>
        <w:t>级财政预算管理的“三公”经费，是指</w:t>
      </w:r>
      <w:r w:rsidR="000A4452">
        <w:rPr>
          <w:rFonts w:ascii="Times New Roman" w:eastAsia="仿宋" w:hAnsi="Times New Roman" w:cs="Times New Roman" w:hint="eastAsia"/>
          <w:sz w:val="32"/>
          <w:szCs w:val="32"/>
        </w:rPr>
        <w:t>区</w:t>
      </w:r>
      <w:r>
        <w:rPr>
          <w:rFonts w:ascii="Times New Roman" w:eastAsia="仿宋" w:hAnsi="Times New Roman" w:cs="Times New Roman" w:hint="eastAsia"/>
          <w:sz w:val="32"/>
          <w:szCs w:val="32"/>
        </w:rPr>
        <w:t>级部门用财政拨款安排的因公出国（境）费、公务用车购置及运维费和公务接待费。其中，因公出国（境）</w:t>
      </w:r>
      <w:proofErr w:type="gramStart"/>
      <w:r>
        <w:rPr>
          <w:rFonts w:ascii="Times New Roman" w:eastAsia="仿宋" w:hAnsi="Times New Roman" w:cs="Times New Roman" w:hint="eastAsia"/>
          <w:sz w:val="32"/>
          <w:szCs w:val="32"/>
        </w:rPr>
        <w:t>费反映</w:t>
      </w:r>
      <w:proofErr w:type="gramEnd"/>
      <w:r>
        <w:rPr>
          <w:rFonts w:ascii="Times New Roman" w:eastAsia="仿宋" w:hAnsi="Times New Roman" w:cs="Times New Roman" w:hint="eastAsia"/>
          <w:sz w:val="32"/>
          <w:szCs w:val="32"/>
        </w:rPr>
        <w:t>单位公务出国（境）的住宿费、旅费、伙食补助费、杂费、培训费等支出；公务用车购置及运维</w:t>
      </w:r>
      <w:proofErr w:type="gramStart"/>
      <w:r>
        <w:rPr>
          <w:rFonts w:ascii="Times New Roman" w:eastAsia="仿宋" w:hAnsi="Times New Roman" w:cs="Times New Roman" w:hint="eastAsia"/>
          <w:sz w:val="32"/>
          <w:szCs w:val="32"/>
        </w:rPr>
        <w:t>费反映</w:t>
      </w:r>
      <w:proofErr w:type="gramEnd"/>
      <w:r>
        <w:rPr>
          <w:rFonts w:ascii="Times New Roman" w:eastAsia="仿宋"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仿宋" w:hAnsi="Times New Roman" w:cs="Times New Roman" w:hint="eastAsia"/>
          <w:sz w:val="32"/>
          <w:szCs w:val="32"/>
        </w:rPr>
        <w:t>费反映</w:t>
      </w:r>
      <w:proofErr w:type="gramEnd"/>
      <w:r>
        <w:rPr>
          <w:rFonts w:ascii="Times New Roman" w:eastAsia="仿宋" w:hAnsi="Times New Roman" w:cs="Times New Roman" w:hint="eastAsia"/>
          <w:sz w:val="32"/>
          <w:szCs w:val="32"/>
        </w:rPr>
        <w:t>单位按规定开支的各类公务接待（含外宾接待）支出。</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w:t>
      </w:r>
      <w:r>
        <w:rPr>
          <w:rFonts w:ascii="Times New Roman" w:eastAsia="仿宋" w:hAnsi="Times New Roman" w:cs="Times New Roman" w:hint="eastAsia"/>
          <w:sz w:val="32"/>
          <w:szCs w:val="32"/>
        </w:rPr>
        <w:lastRenderedPageBreak/>
        <w:t>费用。</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、上年结转：指以前年度尚未完成、结转到本年仍按原规定用途继续使用的资金。</w:t>
      </w:r>
    </w:p>
    <w:p w:rsidR="00CD358A" w:rsidRDefault="00446BF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、事业单位经营支出：指事业单位在专业业务活动及其辅助活动之外开展非独立核算经营活动发生的支出。</w:t>
      </w:r>
    </w:p>
    <w:p w:rsidR="00CD358A" w:rsidRPr="00750048" w:rsidRDefault="00446BF7" w:rsidP="00750048">
      <w:pPr>
        <w:pStyle w:val="1"/>
        <w:rPr>
          <w:rFonts w:ascii="黑体" w:eastAsia="黑体" w:hAnsi="黑体" w:cs="Times New Roman"/>
          <w:sz w:val="32"/>
          <w:szCs w:val="32"/>
        </w:rPr>
      </w:pPr>
      <w:r w:rsidRPr="00750048">
        <w:rPr>
          <w:rFonts w:ascii="黑体" w:eastAsia="黑体" w:hAnsi="黑体" w:cs="Times New Roman" w:hint="eastAsia"/>
          <w:sz w:val="32"/>
          <w:szCs w:val="32"/>
        </w:rPr>
        <w:t>九、其他需要说明的事项</w:t>
      </w:r>
    </w:p>
    <w:p w:rsidR="00CD358A" w:rsidRDefault="00446BF7">
      <w:pPr>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我部门</w:t>
      </w:r>
      <w:proofErr w:type="gramEnd"/>
      <w:r>
        <w:rPr>
          <w:rFonts w:ascii="Times New Roman" w:eastAsia="仿宋" w:hAnsi="Times New Roman" w:cs="Times New Roman" w:hint="eastAsia"/>
          <w:sz w:val="32"/>
          <w:szCs w:val="32"/>
        </w:rPr>
        <w:t>无其他需要说明的事项。</w:t>
      </w:r>
    </w:p>
    <w:sectPr w:rsidR="00CD358A" w:rsidSect="00C6181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1F" w:rsidRDefault="006D1C1F">
      <w:r>
        <w:separator/>
      </w:r>
    </w:p>
  </w:endnote>
  <w:endnote w:type="continuationSeparator" w:id="0">
    <w:p w:rsidR="006D1C1F" w:rsidRDefault="006D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方正书宋_GBK">
    <w:altName w:val="Arial Unicode MS"/>
    <w:charset w:val="86"/>
    <w:family w:val="auto"/>
    <w:pitch w:val="variable"/>
    <w:sig w:usb0="00000000" w:usb1="38CF7CFA" w:usb2="00082016" w:usb3="00000000" w:csb0="00040001" w:csb1="00000000"/>
  </w:font>
  <w:font w:name="方正仿宋_GBK">
    <w:altName w:val="Arial Unicode MS"/>
    <w:charset w:val="86"/>
    <w:family w:val="auto"/>
    <w:pitch w:val="variable"/>
    <w:sig w:usb0="A00002BF" w:usb1="38CF7CFA" w:usb2="00082016" w:usb3="00000000" w:csb0="00040001" w:csb1="00000000"/>
  </w:font>
  <w:font w:name="方正黑体_GBK">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DE" w:rsidRDefault="007D7820">
    <w:pPr>
      <w:pStyle w:val="a3"/>
      <w:framePr w:wrap="around" w:vAnchor="text" w:hAnchor="margin" w:xAlign="outside" w:y="1"/>
      <w:rPr>
        <w:rStyle w:val="11"/>
      </w:rPr>
    </w:pPr>
    <w:r>
      <w:fldChar w:fldCharType="begin"/>
    </w:r>
    <w:r w:rsidR="006732DE">
      <w:rPr>
        <w:rStyle w:val="11"/>
      </w:rPr>
      <w:instrText xml:space="preserve">PAGE  </w:instrText>
    </w:r>
    <w:r>
      <w:fldChar w:fldCharType="separate"/>
    </w:r>
    <w:r w:rsidR="006D2F1F">
      <w:rPr>
        <w:rStyle w:val="11"/>
        <w:noProof/>
      </w:rPr>
      <w:t>8</w:t>
    </w:r>
    <w:r>
      <w:fldChar w:fldCharType="end"/>
    </w:r>
  </w:p>
  <w:p w:rsidR="006732DE" w:rsidRDefault="006732D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1F" w:rsidRDefault="006D1C1F">
      <w:r>
        <w:separator/>
      </w:r>
    </w:p>
  </w:footnote>
  <w:footnote w:type="continuationSeparator" w:id="0">
    <w:p w:rsidR="006D1C1F" w:rsidRDefault="006D1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37B"/>
    <w:multiLevelType w:val="hybridMultilevel"/>
    <w:tmpl w:val="03D20C66"/>
    <w:lvl w:ilvl="0" w:tplc="BC1C034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71BA"/>
    <w:rsid w:val="00015210"/>
    <w:rsid w:val="00017939"/>
    <w:rsid w:val="000217FA"/>
    <w:rsid w:val="00025DD7"/>
    <w:rsid w:val="00035EF0"/>
    <w:rsid w:val="00041836"/>
    <w:rsid w:val="000A1AC4"/>
    <w:rsid w:val="000A328B"/>
    <w:rsid w:val="000A4452"/>
    <w:rsid w:val="000C7140"/>
    <w:rsid w:val="000D6874"/>
    <w:rsid w:val="000F043C"/>
    <w:rsid w:val="00151EFD"/>
    <w:rsid w:val="00182AA0"/>
    <w:rsid w:val="001A7218"/>
    <w:rsid w:val="001D74E8"/>
    <w:rsid w:val="00220AD1"/>
    <w:rsid w:val="002242EB"/>
    <w:rsid w:val="002257C3"/>
    <w:rsid w:val="00233EEE"/>
    <w:rsid w:val="00280FB5"/>
    <w:rsid w:val="00285834"/>
    <w:rsid w:val="002E4CE8"/>
    <w:rsid w:val="002F4EBD"/>
    <w:rsid w:val="00323B29"/>
    <w:rsid w:val="00366ED9"/>
    <w:rsid w:val="00367DC7"/>
    <w:rsid w:val="003813D0"/>
    <w:rsid w:val="0039059E"/>
    <w:rsid w:val="00397A29"/>
    <w:rsid w:val="003B62A1"/>
    <w:rsid w:val="003C6CE9"/>
    <w:rsid w:val="003E2B15"/>
    <w:rsid w:val="003F22BA"/>
    <w:rsid w:val="00407C47"/>
    <w:rsid w:val="0043399E"/>
    <w:rsid w:val="00446BF7"/>
    <w:rsid w:val="00453C31"/>
    <w:rsid w:val="00470C03"/>
    <w:rsid w:val="0047144A"/>
    <w:rsid w:val="00481492"/>
    <w:rsid w:val="004A656A"/>
    <w:rsid w:val="004D0D7D"/>
    <w:rsid w:val="004D6D56"/>
    <w:rsid w:val="004F4E51"/>
    <w:rsid w:val="005016CB"/>
    <w:rsid w:val="0057474F"/>
    <w:rsid w:val="005B596B"/>
    <w:rsid w:val="005B5B4F"/>
    <w:rsid w:val="005C3AD5"/>
    <w:rsid w:val="005C5F1E"/>
    <w:rsid w:val="0061103F"/>
    <w:rsid w:val="00623E42"/>
    <w:rsid w:val="00626581"/>
    <w:rsid w:val="00631C4C"/>
    <w:rsid w:val="00644CB3"/>
    <w:rsid w:val="006732DE"/>
    <w:rsid w:val="00674FB2"/>
    <w:rsid w:val="00691467"/>
    <w:rsid w:val="006A5861"/>
    <w:rsid w:val="006B11AD"/>
    <w:rsid w:val="006D1C1F"/>
    <w:rsid w:val="006D2F1F"/>
    <w:rsid w:val="006D6F7C"/>
    <w:rsid w:val="007136C4"/>
    <w:rsid w:val="00750048"/>
    <w:rsid w:val="00760D02"/>
    <w:rsid w:val="0078702E"/>
    <w:rsid w:val="007C3DC2"/>
    <w:rsid w:val="007D0BBB"/>
    <w:rsid w:val="007D7820"/>
    <w:rsid w:val="007E0D07"/>
    <w:rsid w:val="007F0341"/>
    <w:rsid w:val="0080593B"/>
    <w:rsid w:val="008265B3"/>
    <w:rsid w:val="00876CD3"/>
    <w:rsid w:val="008770BC"/>
    <w:rsid w:val="008B7DA7"/>
    <w:rsid w:val="008C09B8"/>
    <w:rsid w:val="008E0135"/>
    <w:rsid w:val="008F0B9D"/>
    <w:rsid w:val="0097482B"/>
    <w:rsid w:val="00980B4F"/>
    <w:rsid w:val="0099688A"/>
    <w:rsid w:val="009A521C"/>
    <w:rsid w:val="009B11B8"/>
    <w:rsid w:val="00A14A8D"/>
    <w:rsid w:val="00A376BF"/>
    <w:rsid w:val="00A605A1"/>
    <w:rsid w:val="00AC2101"/>
    <w:rsid w:val="00AC434C"/>
    <w:rsid w:val="00AE671D"/>
    <w:rsid w:val="00B75E94"/>
    <w:rsid w:val="00BE77DD"/>
    <w:rsid w:val="00BE7FB4"/>
    <w:rsid w:val="00BF3F98"/>
    <w:rsid w:val="00C13FB5"/>
    <w:rsid w:val="00C61818"/>
    <w:rsid w:val="00C80CDF"/>
    <w:rsid w:val="00CD358A"/>
    <w:rsid w:val="00CD5C12"/>
    <w:rsid w:val="00CE2CD8"/>
    <w:rsid w:val="00D607DA"/>
    <w:rsid w:val="00D72D89"/>
    <w:rsid w:val="00D81CC9"/>
    <w:rsid w:val="00DC6EE5"/>
    <w:rsid w:val="00DF44EF"/>
    <w:rsid w:val="00E06555"/>
    <w:rsid w:val="00E44566"/>
    <w:rsid w:val="00E51C99"/>
    <w:rsid w:val="00EA03C2"/>
    <w:rsid w:val="00EE71BA"/>
    <w:rsid w:val="00F10B2B"/>
    <w:rsid w:val="00F215EC"/>
    <w:rsid w:val="00F34DEA"/>
    <w:rsid w:val="00F353B2"/>
    <w:rsid w:val="00F829B9"/>
    <w:rsid w:val="00F867E4"/>
    <w:rsid w:val="00F92C73"/>
    <w:rsid w:val="00FA39B5"/>
    <w:rsid w:val="00FB0D6C"/>
    <w:rsid w:val="00FD2278"/>
    <w:rsid w:val="00FF716B"/>
    <w:rsid w:val="056D1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7218"/>
    <w:pPr>
      <w:widowControl w:val="0"/>
      <w:jc w:val="both"/>
    </w:pPr>
    <w:rPr>
      <w:rFonts w:ascii="Calibri" w:hAnsi="Calibri" w:cs="黑体"/>
      <w:kern w:val="2"/>
      <w:sz w:val="21"/>
      <w:szCs w:val="22"/>
    </w:rPr>
  </w:style>
  <w:style w:type="paragraph" w:styleId="1">
    <w:name w:val="heading 1"/>
    <w:basedOn w:val="a"/>
    <w:next w:val="a"/>
    <w:link w:val="1Char"/>
    <w:uiPriority w:val="9"/>
    <w:qFormat/>
    <w:rsid w:val="007500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50048"/>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semiHidden/>
    <w:unhideWhenUsed/>
    <w:qFormat/>
    <w:rsid w:val="0075004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1A7218"/>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10"/>
    <w:uiPriority w:val="99"/>
    <w:rsid w:val="001A7218"/>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uiPriority w:val="39"/>
    <w:rsid w:val="001A7218"/>
    <w:rPr>
      <w:rFonts w:ascii="Times New Roman" w:hAnsi="Times New Roman" w:cs="Times New Roman"/>
      <w:szCs w:val="24"/>
    </w:rPr>
  </w:style>
  <w:style w:type="paragraph" w:styleId="a5">
    <w:name w:val="footnote text"/>
    <w:basedOn w:val="a"/>
    <w:rsid w:val="001A7218"/>
    <w:pPr>
      <w:snapToGrid w:val="0"/>
      <w:jc w:val="left"/>
    </w:pPr>
    <w:rPr>
      <w:sz w:val="18"/>
      <w:szCs w:val="18"/>
    </w:rPr>
  </w:style>
  <w:style w:type="paragraph" w:styleId="20">
    <w:name w:val="toc 2"/>
    <w:basedOn w:val="a"/>
    <w:next w:val="a"/>
    <w:uiPriority w:val="39"/>
    <w:rsid w:val="001A7218"/>
    <w:pPr>
      <w:ind w:leftChars="200" w:left="420"/>
    </w:pPr>
    <w:rPr>
      <w:rFonts w:ascii="Times New Roman" w:hAnsi="Times New Roman" w:cs="Times New Roman"/>
      <w:szCs w:val="24"/>
    </w:rPr>
  </w:style>
  <w:style w:type="character" w:styleId="a6">
    <w:name w:val="footnote reference"/>
    <w:qFormat/>
    <w:rsid w:val="001A7218"/>
    <w:rPr>
      <w:vertAlign w:val="superscript"/>
    </w:rPr>
  </w:style>
  <w:style w:type="paragraph" w:customStyle="1" w:styleId="Char">
    <w:name w:val="Char"/>
    <w:basedOn w:val="a"/>
    <w:qFormat/>
    <w:rsid w:val="001A7218"/>
    <w:rPr>
      <w:rFonts w:ascii="Times New Roman" w:hAnsi="Times New Roman" w:cs="Times New Roman"/>
      <w:szCs w:val="24"/>
    </w:rPr>
  </w:style>
  <w:style w:type="character" w:customStyle="1" w:styleId="11">
    <w:name w:val="页码1"/>
    <w:qFormat/>
    <w:rsid w:val="001A7218"/>
  </w:style>
  <w:style w:type="character" w:customStyle="1" w:styleId="Char1">
    <w:name w:val="页脚 Char1"/>
    <w:link w:val="a3"/>
    <w:uiPriority w:val="99"/>
    <w:semiHidden/>
    <w:rsid w:val="001A7218"/>
    <w:rPr>
      <w:rFonts w:ascii="Times New Roman" w:eastAsia="宋体" w:hAnsi="Times New Roman" w:cs="Times New Roman"/>
      <w:sz w:val="18"/>
      <w:szCs w:val="18"/>
    </w:rPr>
  </w:style>
  <w:style w:type="character" w:customStyle="1" w:styleId="Char10">
    <w:name w:val="页眉 Char1"/>
    <w:link w:val="a4"/>
    <w:uiPriority w:val="99"/>
    <w:semiHidden/>
    <w:rsid w:val="001A7218"/>
    <w:rPr>
      <w:rFonts w:ascii="Times New Roman" w:eastAsia="宋体" w:hAnsi="Times New Roman" w:cs="Times New Roman"/>
      <w:sz w:val="18"/>
      <w:szCs w:val="18"/>
    </w:rPr>
  </w:style>
  <w:style w:type="character" w:customStyle="1" w:styleId="Char0">
    <w:name w:val="页眉 Char"/>
    <w:uiPriority w:val="99"/>
    <w:semiHidden/>
    <w:rsid w:val="00F829B9"/>
    <w:rPr>
      <w:kern w:val="2"/>
      <w:sz w:val="18"/>
      <w:szCs w:val="18"/>
    </w:rPr>
  </w:style>
  <w:style w:type="character" w:customStyle="1" w:styleId="Char2">
    <w:name w:val="页脚 Char"/>
    <w:uiPriority w:val="99"/>
    <w:semiHidden/>
    <w:rsid w:val="00F829B9"/>
    <w:rPr>
      <w:kern w:val="2"/>
      <w:sz w:val="18"/>
      <w:szCs w:val="18"/>
    </w:rPr>
  </w:style>
  <w:style w:type="paragraph" w:customStyle="1" w:styleId="a7">
    <w:basedOn w:val="a"/>
    <w:next w:val="a"/>
    <w:autoRedefine/>
    <w:uiPriority w:val="39"/>
    <w:unhideWhenUsed/>
    <w:rsid w:val="00F829B9"/>
    <w:rPr>
      <w:rFonts w:cs="Times New Roman"/>
    </w:rPr>
  </w:style>
  <w:style w:type="character" w:styleId="a8">
    <w:name w:val="Hyperlink"/>
    <w:uiPriority w:val="99"/>
    <w:unhideWhenUsed/>
    <w:rsid w:val="00F829B9"/>
    <w:rPr>
      <w:color w:val="0000FF"/>
      <w:u w:val="single"/>
    </w:rPr>
  </w:style>
  <w:style w:type="character" w:styleId="a9">
    <w:name w:val="page number"/>
    <w:uiPriority w:val="99"/>
    <w:semiHidden/>
    <w:unhideWhenUsed/>
    <w:rsid w:val="00F829B9"/>
  </w:style>
  <w:style w:type="character" w:customStyle="1" w:styleId="1Char">
    <w:name w:val="标题 1 Char"/>
    <w:link w:val="1"/>
    <w:uiPriority w:val="9"/>
    <w:rsid w:val="00750048"/>
    <w:rPr>
      <w:rFonts w:ascii="Calibri" w:hAnsi="Calibri" w:cs="黑体"/>
      <w:b/>
      <w:bCs/>
      <w:kern w:val="44"/>
      <w:sz w:val="44"/>
      <w:szCs w:val="44"/>
    </w:rPr>
  </w:style>
  <w:style w:type="character" w:customStyle="1" w:styleId="2Char">
    <w:name w:val="标题 2 Char"/>
    <w:link w:val="2"/>
    <w:uiPriority w:val="9"/>
    <w:semiHidden/>
    <w:rsid w:val="00750048"/>
    <w:rPr>
      <w:rFonts w:ascii="Cambria" w:eastAsia="宋体" w:hAnsi="Cambria" w:cs="Times New Roman"/>
      <w:b/>
      <w:bCs/>
      <w:kern w:val="2"/>
      <w:sz w:val="32"/>
      <w:szCs w:val="32"/>
    </w:rPr>
  </w:style>
  <w:style w:type="character" w:customStyle="1" w:styleId="3Char">
    <w:name w:val="标题 3 Char"/>
    <w:link w:val="3"/>
    <w:uiPriority w:val="9"/>
    <w:semiHidden/>
    <w:rsid w:val="00750048"/>
    <w:rPr>
      <w:rFonts w:ascii="Calibri" w:hAnsi="Calibri" w:cs="黑体"/>
      <w:b/>
      <w:bCs/>
      <w:kern w:val="2"/>
      <w:sz w:val="32"/>
      <w:szCs w:val="32"/>
    </w:rPr>
  </w:style>
  <w:style w:type="paragraph" w:customStyle="1" w:styleId="aa">
    <w:basedOn w:val="a"/>
    <w:next w:val="a"/>
    <w:autoRedefine/>
    <w:uiPriority w:val="39"/>
    <w:unhideWhenUsed/>
    <w:rsid w:val="00233EEE"/>
    <w:rPr>
      <w:rFonts w:cs="Times New Roman"/>
    </w:rPr>
  </w:style>
  <w:style w:type="paragraph" w:styleId="4">
    <w:name w:val="toc 4"/>
    <w:basedOn w:val="a"/>
    <w:next w:val="a"/>
    <w:autoRedefine/>
    <w:uiPriority w:val="39"/>
    <w:unhideWhenUsed/>
    <w:rsid w:val="00E44566"/>
    <w:pPr>
      <w:ind w:leftChars="600" w:left="12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0899">
      <w:bodyDiv w:val="1"/>
      <w:marLeft w:val="0"/>
      <w:marRight w:val="0"/>
      <w:marTop w:val="0"/>
      <w:marBottom w:val="0"/>
      <w:divBdr>
        <w:top w:val="none" w:sz="0" w:space="0" w:color="auto"/>
        <w:left w:val="none" w:sz="0" w:space="0" w:color="auto"/>
        <w:bottom w:val="none" w:sz="0" w:space="0" w:color="auto"/>
        <w:right w:val="none" w:sz="0" w:space="0" w:color="auto"/>
      </w:divBdr>
    </w:div>
    <w:div w:id="543640270">
      <w:bodyDiv w:val="1"/>
      <w:marLeft w:val="0"/>
      <w:marRight w:val="0"/>
      <w:marTop w:val="0"/>
      <w:marBottom w:val="0"/>
      <w:divBdr>
        <w:top w:val="none" w:sz="0" w:space="0" w:color="auto"/>
        <w:left w:val="none" w:sz="0" w:space="0" w:color="auto"/>
        <w:bottom w:val="none" w:sz="0" w:space="0" w:color="auto"/>
        <w:right w:val="none" w:sz="0" w:space="0" w:color="auto"/>
      </w:divBdr>
    </w:div>
    <w:div w:id="2006471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9</Pages>
  <Words>622</Words>
  <Characters>3552</Characters>
  <Application>Microsoft Office Word</Application>
  <DocSecurity>0</DocSecurity>
  <Lines>29</Lines>
  <Paragraphs>8</Paragraphs>
  <ScaleCrop>false</ScaleCrop>
  <Company>Microsoft</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guest</dc:creator>
  <cp:lastModifiedBy>Windows 用户</cp:lastModifiedBy>
  <cp:revision>72</cp:revision>
  <cp:lastPrinted>2020-01-10T15:53:00Z</cp:lastPrinted>
  <dcterms:created xsi:type="dcterms:W3CDTF">2017-01-23T17:29:00Z</dcterms:created>
  <dcterms:modified xsi:type="dcterms:W3CDTF">2022-09-08T15:48:00Z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